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webextensions/taskpanes.xml" ContentType="application/vnd.ms-office.webextensiontaskpanes+xml"/>
  <Override PartName="/word/webextensions/webextension1.xml" ContentType="application/vnd.ms-office.webextensio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11/relationships/webextensiontaskpanes" Target="word/webextensions/taskpanes.xml"/><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BFD132A" w14:textId="4EB37A43" w:rsidR="00D63A6F" w:rsidRPr="00053D98" w:rsidRDefault="00173DB2" w:rsidP="00D711BA">
      <w:pPr>
        <w:pStyle w:val="Heading4"/>
        <w:spacing w:line="240" w:lineRule="auto"/>
      </w:pPr>
      <w:bookmarkStart w:id="0" w:name="OLE_LINK1"/>
      <w:bookmarkStart w:id="1" w:name="OLE_LINK2"/>
      <w:bookmarkStart w:id="2" w:name="OLE_LINK3"/>
      <w:r>
        <w:t>October 2026</w:t>
      </w:r>
    </w:p>
    <w:p w14:paraId="1A6EA2BD" w14:textId="52ABEDCC" w:rsidR="00D63A6F" w:rsidRPr="0072066A" w:rsidRDefault="00173DB2" w:rsidP="00D711BA">
      <w:pPr>
        <w:pStyle w:val="AuthorName"/>
        <w:spacing w:line="240" w:lineRule="auto"/>
      </w:pPr>
      <w:r>
        <w:t>Dennis Wamsted</w:t>
      </w:r>
      <w:r w:rsidR="00D63A6F" w:rsidRPr="0072066A">
        <w:t xml:space="preserve"> || Energy </w:t>
      </w:r>
      <w:r>
        <w:t xml:space="preserve">Finance </w:t>
      </w:r>
      <w:r w:rsidR="00D63A6F" w:rsidRPr="0072066A">
        <w:t>Analyst</w:t>
      </w:r>
    </w:p>
    <w:p w14:paraId="3AB3C82F" w14:textId="77777777" w:rsidR="00173DB2" w:rsidRPr="003B42B1" w:rsidRDefault="00173DB2" w:rsidP="00173DB2">
      <w:pPr>
        <w:pStyle w:val="AuthorName"/>
        <w:spacing w:line="240" w:lineRule="auto"/>
        <w:rPr>
          <w:rFonts w:ascii="Inter ExtraBold" w:hAnsi="Inter ExtraBold"/>
          <w:bCs/>
          <w:iCs/>
          <w:sz w:val="40"/>
          <w:szCs w:val="36"/>
          <w:lang w:val="en-US"/>
        </w:rPr>
      </w:pPr>
      <w:r w:rsidRPr="003B42B1">
        <w:rPr>
          <w:rFonts w:ascii="Inter ExtraBold" w:hAnsi="Inter ExtraBold"/>
          <w:bCs/>
          <w:iCs/>
          <w:sz w:val="40"/>
          <w:szCs w:val="36"/>
          <w:lang w:val="en-US"/>
        </w:rPr>
        <w:t>Time to Put the Brakes on Dominion’s Fuel Cost Securitizations</w:t>
      </w:r>
    </w:p>
    <w:p w14:paraId="03D0F1A5" w14:textId="5CAE6CB7" w:rsidR="00173DB2" w:rsidRPr="00F066E9" w:rsidRDefault="00173DB2" w:rsidP="00173DB2">
      <w:pPr>
        <w:pStyle w:val="Subtitle"/>
        <w:rPr>
          <w:iCs/>
          <w:lang w:val="en-US"/>
        </w:rPr>
      </w:pPr>
      <w:r w:rsidRPr="00F066E9">
        <w:rPr>
          <w:iCs/>
          <w:lang w:val="en-US"/>
        </w:rPr>
        <w:t>Process obscures the real cost of gas generation for consumers</w:t>
      </w:r>
    </w:p>
    <w:p w14:paraId="4037000F" w14:textId="2A8D9FD8" w:rsidR="00173DB2" w:rsidRDefault="00521E70" w:rsidP="00173DB2">
      <w:r w:rsidRPr="00053D98">
        <w:rPr>
          <w:noProof/>
        </w:rPr>
        <mc:AlternateContent>
          <mc:Choice Requires="wps">
            <w:drawing>
              <wp:anchor distT="0" distB="0" distL="114300" distR="114300" simplePos="0" relativeHeight="251660288" behindDoc="0" locked="0" layoutInCell="1" allowOverlap="1" wp14:anchorId="0009212B" wp14:editId="0DD8BFC7">
                <wp:simplePos x="0" y="0"/>
                <wp:positionH relativeFrom="column">
                  <wp:posOffset>-52070</wp:posOffset>
                </wp:positionH>
                <wp:positionV relativeFrom="paragraph">
                  <wp:posOffset>389255</wp:posOffset>
                </wp:positionV>
                <wp:extent cx="6649720" cy="2924175"/>
                <wp:effectExtent l="0" t="0" r="0" b="9525"/>
                <wp:wrapTopAndBottom/>
                <wp:docPr id="1221325780" name="Rectangle 7"/>
                <wp:cNvGraphicFramePr/>
                <a:graphic xmlns:a="http://schemas.openxmlformats.org/drawingml/2006/main">
                  <a:graphicData uri="http://schemas.microsoft.com/office/word/2010/wordprocessingShape">
                    <wps:wsp>
                      <wps:cNvSpPr/>
                      <wps:spPr>
                        <a:xfrm>
                          <a:off x="0" y="0"/>
                          <a:ext cx="6649720" cy="2924175"/>
                        </a:xfrm>
                        <a:prstGeom prst="rect">
                          <a:avLst/>
                        </a:prstGeom>
                        <a:solidFill>
                          <a:srgbClr val="EDF2F3"/>
                        </a:solidFill>
                        <a:ln>
                          <a:noFill/>
                        </a:ln>
                      </wps:spPr>
                      <wps:style>
                        <a:lnRef idx="2">
                          <a:schemeClr val="accent1">
                            <a:shade val="15000"/>
                          </a:schemeClr>
                        </a:lnRef>
                        <a:fillRef idx="1">
                          <a:schemeClr val="accent1"/>
                        </a:fillRef>
                        <a:effectRef idx="0">
                          <a:schemeClr val="accent1"/>
                        </a:effectRef>
                        <a:fontRef idx="minor">
                          <a:schemeClr val="lt1"/>
                        </a:fontRef>
                      </wps:style>
                      <wps:txbx>
                        <w:txbxContent>
                          <w:p w14:paraId="6245513E" w14:textId="77777777" w:rsidR="00173DB2" w:rsidRPr="00B778A6" w:rsidRDefault="00173DB2" w:rsidP="00173DB2">
                            <w:pPr>
                              <w:pStyle w:val="ListParagraph"/>
                              <w:rPr>
                                <w:b/>
                                <w:bCs/>
                                <w:sz w:val="25"/>
                                <w:szCs w:val="25"/>
                              </w:rPr>
                            </w:pPr>
                            <w:r>
                              <w:t>The Virginia State Corporation Commission (SCC) has approved a securitization plan allowing Dominion Energy to collect unrecovered fuel costs from the previous year over seven years instead of the conventional 12 months.</w:t>
                            </w:r>
                          </w:p>
                          <w:p w14:paraId="0D299314" w14:textId="77777777" w:rsidR="00173DB2" w:rsidRPr="00035AF1" w:rsidRDefault="00173DB2" w:rsidP="00173DB2">
                            <w:pPr>
                              <w:pStyle w:val="ListParagraph"/>
                              <w:rPr>
                                <w:b/>
                                <w:bCs/>
                                <w:sz w:val="25"/>
                                <w:szCs w:val="25"/>
                              </w:rPr>
                            </w:pPr>
                            <w:r>
                              <w:t>The plan approved by the SCC will allow Dominion to securitize $922.1 million in fuel costs that the utility did not recover through its regular billing process from June 2025 to July 2026.</w:t>
                            </w:r>
                          </w:p>
                          <w:p w14:paraId="559E50BF" w14:textId="77777777" w:rsidR="00035AF1" w:rsidRPr="00035AF1" w:rsidRDefault="00035AF1" w:rsidP="00035AF1">
                            <w:pPr>
                              <w:pStyle w:val="ListParagraph"/>
                              <w:rPr>
                                <w:b/>
                                <w:bCs/>
                                <w:sz w:val="25"/>
                                <w:szCs w:val="25"/>
                              </w:rPr>
                            </w:pPr>
                            <w:r>
                              <w:t>For the second time since 2023, the SCC is allowing Dominion to securitize large under-recovery deferral balances caused by volatile natural gas prices.</w:t>
                            </w:r>
                          </w:p>
                          <w:p w14:paraId="08469645" w14:textId="11A3D7E6" w:rsidR="00173DB2" w:rsidRPr="00B778A6" w:rsidRDefault="00173DB2" w:rsidP="00035AF1">
                            <w:pPr>
                              <w:pStyle w:val="ListParagraph"/>
                              <w:rPr>
                                <w:b/>
                                <w:bCs/>
                                <w:sz w:val="25"/>
                                <w:szCs w:val="25"/>
                              </w:rPr>
                            </w:pPr>
                            <w:r>
                              <w:t>A more rapid build-out of renewable energy resources, dispatchable battery storage, energy efficiency, and demand side management (DSM) measures could reduce the need for such huge securitizations.</w:t>
                            </w:r>
                          </w:p>
                          <w:p w14:paraId="49E4EDBB" w14:textId="2C63B5EA" w:rsidR="00CC10FA" w:rsidRPr="0072066A" w:rsidRDefault="00CC10FA" w:rsidP="00173DB2"/>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rect w14:anchorId="0009212B" id="Rectangle 7" o:spid="_x0000_s1026" style="position:absolute;margin-left:-4.1pt;margin-top:30.65pt;width:523.6pt;height:230.25pt;z-index:251660288;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" fillcolor="#edf2f3" stroked="f" strokeweight="2pt">
                <v:textbox>
                  <w:txbxContent>
                    <w:p w14:paraId="6245513E" w14:textId="77777777" w:rsidR="00173DB2" w:rsidRPr="00B778A6" w:rsidRDefault="00173DB2" w:rsidP="00173DB2">
                      <w:pPr>
                        <w:pStyle w:val="ListParagraph"/>
                        <w:rPr>
                          <w:b/>
                          <w:bCs/>
                          <w:sz w:val="25"/>
                          <w:szCs w:val="25"/>
                        </w:rPr>
                      </w:pPr>
                      <w:r>
                        <w:t>The Virginia State Corporation Commission (SCC) has approved a securitization plan allowing Dominion Energy to collect unrecovered fuel costs from the previous year over seven years instead of the conventional 12 months.</w:t>
                      </w:r>
                    </w:p>
                    <w:p w14:paraId="0D299314" w14:textId="77777777" w:rsidR="00173DB2" w:rsidRPr="00035AF1" w:rsidRDefault="00173DB2" w:rsidP="00173DB2">
                      <w:pPr>
                        <w:pStyle w:val="ListParagraph"/>
                        <w:rPr>
                          <w:b/>
                          <w:bCs/>
                          <w:sz w:val="25"/>
                          <w:szCs w:val="25"/>
                        </w:rPr>
                      </w:pPr>
                      <w:r>
                        <w:t>The plan approved by the SCC will allow Dominion to securitize $922.1 million in fuel costs that the utility did not recover through its regular billing process from June 2025 to July 2026.</w:t>
                      </w:r>
                    </w:p>
                    <w:p w14:paraId="559E50BF" w14:textId="77777777" w:rsidR="00035AF1" w:rsidRPr="00035AF1" w:rsidRDefault="00035AF1" w:rsidP="00035AF1">
                      <w:pPr>
                        <w:pStyle w:val="ListParagraph"/>
                        <w:rPr>
                          <w:b/>
                          <w:bCs/>
                          <w:sz w:val="25"/>
                          <w:szCs w:val="25"/>
                        </w:rPr>
                      </w:pPr>
                      <w:r>
                        <w:t>For the second time since 2023, the SCC is allowing Dominion to securitize large under-recovery deferral balances caused by volatile natural gas prices.</w:t>
                      </w:r>
                    </w:p>
                    <w:p w14:paraId="08469645" w14:textId="11A3D7E6" w:rsidR="00173DB2" w:rsidRPr="00B778A6" w:rsidRDefault="00173DB2" w:rsidP="00035AF1">
                      <w:pPr>
                        <w:pStyle w:val="ListParagraph"/>
                        <w:rPr>
                          <w:b/>
                          <w:bCs/>
                          <w:sz w:val="25"/>
                          <w:szCs w:val="25"/>
                        </w:rPr>
                      </w:pPr>
                      <w:r>
                        <w:t>A more rapid build-out of renewable energy resources, dispatchable battery storage, energy efficiency, and demand side management (DSM) measures could reduce the need for such huge securitizations.</w:t>
                      </w:r>
                    </w:p>
                    <w:p w14:paraId="49E4EDBB" w14:textId="2C63B5EA" w:rsidR="00CC10FA" w:rsidRPr="0072066A" w:rsidRDefault="00CC10FA" w:rsidP="00173DB2"/>
                  </w:txbxContent>
                </v:textbox>
                <w10:wrap type="topAndBottom"/>
              </v:rect>
            </w:pict>
          </mc:Fallback>
        </mc:AlternateContent>
      </w:r>
    </w:p>
    <w:p w14:paraId="45B3622E" w14:textId="77777777" w:rsidR="00521E70" w:rsidRDefault="00521E70" w:rsidP="00173DB2"/>
    <w:p w14:paraId="7182A59E" w14:textId="1639E282" w:rsidR="00173DB2" w:rsidRPr="00173DB2" w:rsidRDefault="00173DB2" w:rsidP="00173DB2">
      <w:r w:rsidRPr="00173DB2">
        <w:t>For the second time in three years, the Virginia State Corporation Commission (SCC) has approved a securitization plan allowing Dominion Energy to collect unrecovered fuel costs from the previous year. These costs are largely gas-related and will be charged to consumers over seven years instead of the conventional 12 months. IEEFA believes these pay-over-time measures are bad public policy that obscure the true cost of fossil-fuel power generation, particularly gas-fired plants.</w:t>
      </w:r>
    </w:p>
    <w:p w14:paraId="3C189682" w14:textId="77777777" w:rsidR="00173DB2" w:rsidRPr="00173DB2" w:rsidRDefault="00173DB2" w:rsidP="00173DB2">
      <w:r w:rsidRPr="00173DB2">
        <w:lastRenderedPageBreak/>
        <w:t>The plan, approved by the SCC in September, will allow Dominion to securitize $922.1 million in fuel costs that the utility did not recover through its regular billing process from June 2025 to July 2026. The company will now collect that money through a non-bypassable charge on its Virginia customers’ bills over the next seven years.</w:t>
      </w:r>
      <w:r w:rsidRPr="00173DB2">
        <w:rPr>
          <w:vertAlign w:val="superscript"/>
        </w:rPr>
        <w:endnoteReference w:id="2"/>
      </w:r>
      <w:r w:rsidRPr="00173DB2">
        <w:t xml:space="preserve"> </w:t>
      </w:r>
      <w:r w:rsidRPr="00173DB2">
        <w:rPr>
          <w:vertAlign w:val="superscript"/>
        </w:rPr>
        <w:endnoteReference w:id="3"/>
      </w:r>
    </w:p>
    <w:p w14:paraId="1652D9AA" w14:textId="77777777" w:rsidR="00173DB2" w:rsidRPr="00173DB2" w:rsidRDefault="00173DB2" w:rsidP="00173DB2">
      <w:r w:rsidRPr="00173DB2">
        <w:t>Dominion secured SCC approval for a similar securitization plan in 2023 to recover fuel costs from 2022-23 that were pushed above projections by cold weather, the Russian invasion of Ukraine, and several other post-COVID-19 pandemic supply issues. The result was a significant under-recovery of Dominion’s actual fuel costs. That year, state regulators approved a plan allowing Dominion to securitize $1.28 billion in unrecovered fuel costs and have consumers pay for them over seven years.</w:t>
      </w:r>
      <w:r w:rsidRPr="00173DB2">
        <w:rPr>
          <w:vertAlign w:val="superscript"/>
        </w:rPr>
        <w:endnoteReference w:id="4"/>
      </w:r>
    </w:p>
    <w:p w14:paraId="0374F979" w14:textId="77777777" w:rsidR="00173DB2" w:rsidRPr="00173DB2" w:rsidRDefault="00173DB2" w:rsidP="00173DB2">
      <w:r w:rsidRPr="00173DB2">
        <w:t>Consequently, by the end of 2026 Dominion consumers will be paying for $2.2 billion in past fuel costs, plus charges for the current year. For a customer using 1,000 kilowatt-hours (kWh) a month, this could push their share of Dominion’s fuel and purchased-power up by about 14%, to roughly $43.59 a month, the highest level in at least a decade. With securitization, these charges will now persist for years, and there is no guarantee that additional fuel price volatility will not lead to further under-recoveries in the coming years, prompting more rounds of securitization. The growing impact of these fuel costs is shown in the following graphic, which was prepared by SCC staff as part of the 2026 proceeding to set Dominion’s fuel charges for the coming year.</w:t>
      </w:r>
      <w:r w:rsidRPr="00173DB2">
        <w:rPr>
          <w:vertAlign w:val="superscript"/>
        </w:rPr>
        <w:endnoteReference w:id="5"/>
      </w:r>
    </w:p>
    <w:p w14:paraId="3993389A" w14:textId="2410B9AA" w:rsidR="00173DB2" w:rsidRPr="00173DB2" w:rsidRDefault="00173DB2" w:rsidP="00173DB2">
      <w:pPr>
        <w:keepNext/>
        <w:keepLines/>
        <w:spacing w:before="60" w:after="120" w:line="240" w:lineRule="auto"/>
        <w:outlineLvl w:val="5"/>
        <w:rPr>
          <w:rFonts w:eastAsiaTheme="majorEastAsia" w:cstheme="majorBidi"/>
          <w:b/>
          <w:color w:val="1D2933" w:themeColor="text1"/>
          <w:sz w:val="21"/>
          <w:szCs w:val="24"/>
          <w:lang w:val="en-GB"/>
        </w:rPr>
      </w:pPr>
      <w:bookmarkStart w:id="3" w:name="_Toc242343307"/>
      <w:r w:rsidRPr="00173DB2">
        <w:rPr>
          <w:rFonts w:eastAsiaTheme="majorEastAsia" w:cstheme="majorBidi"/>
          <w:b/>
          <w:color w:val="1D2933" w:themeColor="text1"/>
          <w:sz w:val="21"/>
          <w:szCs w:val="24"/>
          <w:lang w:val="en-GB"/>
        </w:rPr>
        <w:lastRenderedPageBreak/>
        <w:t xml:space="preserve">Figure </w:t>
      </w:r>
      <w:r w:rsidRPr="00173DB2">
        <w:rPr>
          <w:rFonts w:eastAsiaTheme="majorEastAsia" w:cstheme="majorBidi"/>
          <w:b/>
          <w:color w:val="1D2933" w:themeColor="text1"/>
          <w:sz w:val="21"/>
          <w:szCs w:val="24"/>
          <w:lang w:val="en-GB"/>
        </w:rPr>
        <w:fldChar w:fldCharType="begin"/>
      </w:r>
      <w:r w:rsidRPr="00173DB2">
        <w:rPr>
          <w:rFonts w:eastAsiaTheme="majorEastAsia" w:cstheme="majorBidi"/>
          <w:b/>
          <w:color w:val="1D2933" w:themeColor="text1"/>
          <w:sz w:val="21"/>
          <w:szCs w:val="24"/>
          <w:lang w:val="en-GB"/>
        </w:rPr>
        <w:instrText xml:space="preserve"> SEQ Figure \* ARABIC </w:instrText>
      </w:r>
      <w:r w:rsidRPr="00173DB2">
        <w:rPr>
          <w:rFonts w:eastAsiaTheme="majorEastAsia" w:cstheme="majorBidi"/>
          <w:b/>
          <w:color w:val="1D2933" w:themeColor="text1"/>
          <w:sz w:val="21"/>
          <w:szCs w:val="24"/>
          <w:lang w:val="en-GB"/>
        </w:rPr>
        <w:fldChar w:fldCharType="separate"/>
      </w:r>
      <w:r w:rsidRPr="00173DB2">
        <w:rPr>
          <w:rFonts w:eastAsiaTheme="majorEastAsia" w:cstheme="majorBidi"/>
          <w:b/>
          <w:noProof/>
          <w:color w:val="1D2933" w:themeColor="text1"/>
          <w:sz w:val="21"/>
          <w:szCs w:val="24"/>
          <w:lang w:val="en-GB"/>
        </w:rPr>
        <w:t>1</w:t>
      </w:r>
      <w:r w:rsidRPr="00173DB2">
        <w:rPr>
          <w:rFonts w:eastAsiaTheme="majorEastAsia" w:cstheme="majorBidi"/>
          <w:b/>
          <w:color w:val="1D2933" w:themeColor="text1"/>
          <w:sz w:val="21"/>
          <w:szCs w:val="24"/>
          <w:lang w:val="en-GB"/>
        </w:rPr>
        <w:fldChar w:fldCharType="end"/>
      </w:r>
      <w:r>
        <w:rPr>
          <w:rFonts w:eastAsiaTheme="majorEastAsia" w:cstheme="majorBidi"/>
          <w:b/>
          <w:color w:val="1D2933" w:themeColor="text1"/>
          <w:sz w:val="21"/>
          <w:szCs w:val="24"/>
          <w:lang w:val="en-GB"/>
        </w:rPr>
        <w:t>:</w:t>
      </w:r>
      <w:r w:rsidRPr="00173DB2">
        <w:rPr>
          <w:rFonts w:eastAsiaTheme="majorEastAsia" w:cstheme="majorBidi"/>
          <w:b/>
          <w:color w:val="1D2933" w:themeColor="text1"/>
          <w:sz w:val="21"/>
          <w:szCs w:val="24"/>
          <w:lang w:val="en-GB"/>
        </w:rPr>
        <w:t xml:space="preserve"> Climbing Fuel and Purchased Power Costs at Dominion Virginia</w:t>
      </w:r>
      <w:bookmarkEnd w:id="3"/>
    </w:p>
    <w:p w14:paraId="5FEF34C6" w14:textId="77777777" w:rsidR="00173DB2" w:rsidRPr="00173DB2" w:rsidRDefault="00173DB2" w:rsidP="00173DB2">
      <w:pPr>
        <w:jc w:val="right"/>
      </w:pPr>
      <w:r w:rsidRPr="00173DB2">
        <w:rPr>
          <w:noProof/>
        </w:rPr>
        <w:drawing>
          <wp:inline distT="0" distB="0" distL="0" distR="0" wp14:anchorId="3F031F4C" wp14:editId="75D482B1">
            <wp:extent cx="5650992" cy="3566160"/>
            <wp:effectExtent l="0" t="0" r="6985" b="0"/>
            <wp:docPr id="106653944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66539445" name=""/>
                    <pic:cNvPicPr/>
                  </pic:nvPicPr>
                  <pic:blipFill>
                    <a:blip r:embed="rId8"/>
                    <a:stretch>
                      <a:fillRect/>
                    </a:stretch>
                  </pic:blipFill>
                  <pic:spPr>
                    <a:xfrm>
                      <a:off x="0" y="0"/>
                      <a:ext cx="5650992" cy="3566160"/>
                    </a:xfrm>
                    <a:prstGeom prst="rect">
                      <a:avLst/>
                    </a:prstGeom>
                  </pic:spPr>
                </pic:pic>
              </a:graphicData>
            </a:graphic>
          </wp:inline>
        </w:drawing>
      </w:r>
      <w:r w:rsidRPr="00173DB2">
        <w:rPr>
          <w:b/>
          <w:bCs/>
          <w:sz w:val="18"/>
          <w:szCs w:val="18"/>
        </w:rPr>
        <w:t>Source: Virginia SCC staff testimony</w:t>
      </w:r>
    </w:p>
    <w:p w14:paraId="76C87F0C" w14:textId="77777777" w:rsidR="00173DB2" w:rsidRPr="00173DB2" w:rsidRDefault="00173DB2" w:rsidP="00173DB2">
      <w:r w:rsidRPr="00173DB2">
        <w:t>Expanding on the graphic, Carol Myers, deputy director of the SCC’s Division of Utility Accounting and Finance, testified: “The growing and volatile customer bill impacts of the company’s fuel and purchased power expenses in recent years, coupled with two proposed securitizations of large under-recovery deferral balances since 2023, are concerning.”</w:t>
      </w:r>
      <w:r w:rsidRPr="00173DB2">
        <w:rPr>
          <w:vertAlign w:val="superscript"/>
        </w:rPr>
        <w:endnoteReference w:id="6"/>
      </w:r>
    </w:p>
    <w:p w14:paraId="04BED783" w14:textId="77777777" w:rsidR="00173DB2" w:rsidRPr="00173DB2" w:rsidRDefault="00173DB2" w:rsidP="00173DB2">
      <w:r w:rsidRPr="00173DB2">
        <w:t>IEEFA agrees. Left unsaid by Myers, but clear from the data is that much of this volatility is due to Dominion’s gas-heavy generation fleet and its rising reliance on power purchases from the PJM market, where gas generally sets the marginal cost. The result is that gas price volatility plays a key role in determining how much Dominion pays for its fuel each year, and certainly was a key factor behind the utility’s push for its 2023 and 2026 securitization plans.</w:t>
      </w:r>
    </w:p>
    <w:p w14:paraId="285E82A6" w14:textId="77777777" w:rsidR="00173DB2" w:rsidRPr="00173DB2" w:rsidRDefault="00173DB2" w:rsidP="00173DB2">
      <w:r w:rsidRPr="00173DB2">
        <w:t xml:space="preserve">The impact of gas price volatility is evident in the fuel cost swings at Dominion’s Greensville combined cycle facility, the utility’s newest and most efficient gas-fired power plant. Russia’s invasion of Ukraine in February 2022 set the stage for a year of extremely high gas prices in the U.S. The upswing was driven in part by liquefied natural gas (LNG) exporters looking to push supplies to Europe to replace lost Russian exports and </w:t>
      </w:r>
      <w:r w:rsidRPr="00173DB2">
        <w:lastRenderedPageBreak/>
        <w:t>then by a major winter storm in December 2022 that led to rolling blackouts at some East Coast utilities and reinforced the upward gas price pressures.</w:t>
      </w:r>
    </w:p>
    <w:p w14:paraId="4CC6EDC6" w14:textId="77777777" w:rsidR="00173DB2" w:rsidRPr="00173DB2" w:rsidRDefault="00173DB2" w:rsidP="00173DB2">
      <w:r w:rsidRPr="00173DB2">
        <w:t>In 2022, the price of gas used to operate Greensville averaged $7.35 per thousand cubic feet (mcf), 74 percent higher than in 2021, data from the Energy Information Administration (EIA) show. That pushed total fuel costs at the plant to $518.7 million, up $211 million or 68% from 2021.</w:t>
      </w:r>
      <w:r w:rsidRPr="00173DB2">
        <w:rPr>
          <w:vertAlign w:val="superscript"/>
        </w:rPr>
        <w:endnoteReference w:id="7"/>
      </w:r>
    </w:p>
    <w:p w14:paraId="069CAC1C" w14:textId="77777777" w:rsidR="00173DB2" w:rsidRPr="00173DB2" w:rsidRDefault="00173DB2" w:rsidP="00173DB2">
      <w:r w:rsidRPr="00173DB2">
        <w:t>Similarly, in January 2026, a two-week cold snap capped by a major winter storm across the East Coast sent prices soaring for Dominion’s gas plants. Fuel costs at the utility’s combined cycle gas turbine (CCGT) plants averaged between $16.58/mcf and $16.79/mcf for the month, more than double the level in January 2025, according to EIA data. At Greensville, as well as Dominion’s two other large CCGT facilities in Brunswick and Warren counties, this pushed monthly fuel expenses to more than $100 million—increases of over 125% at each plant compared to 2025.</w:t>
      </w:r>
      <w:r w:rsidRPr="00173DB2">
        <w:rPr>
          <w:vertAlign w:val="superscript"/>
        </w:rPr>
        <w:endnoteReference w:id="8"/>
      </w:r>
    </w:p>
    <w:p w14:paraId="43836638" w14:textId="77777777" w:rsidR="00173DB2" w:rsidRPr="00173DB2" w:rsidRDefault="00173DB2" w:rsidP="00173DB2">
      <w:r w:rsidRPr="00173DB2">
        <w:t>The January price spike accounted for more than half of the company’s unrecovered fuel costs for the year—$567 million of the total projected shortfall of $1.078 billion, the company said in its initial filings.</w:t>
      </w:r>
      <w:r w:rsidRPr="00173DB2">
        <w:rPr>
          <w:vertAlign w:val="superscript"/>
        </w:rPr>
        <w:endnoteReference w:id="9"/>
      </w:r>
      <w:r w:rsidRPr="00173DB2">
        <w:t xml:space="preserve"> Rolling these volatile costs into rates and recovering them over the following 12-month period, as is customary, would have raised bills significantly for Dominion customers. In its first filing, the utility projected that doing so would raise the monthly bill for residential customers by $14.72; the company subsequently cut that monthly cost to about $13 using updated numbers and estimates of the number of customers participating in its prepay option. In comparison, its proposed securitization plan will add about $2.26 to monthly bills over the seven-year term.</w:t>
      </w:r>
      <w:r w:rsidRPr="00173DB2">
        <w:rPr>
          <w:vertAlign w:val="superscript"/>
        </w:rPr>
        <w:endnoteReference w:id="10"/>
      </w:r>
    </w:p>
    <w:p w14:paraId="22F54717" w14:textId="77777777" w:rsidR="00173DB2" w:rsidRPr="00173DB2" w:rsidRDefault="00173DB2" w:rsidP="00173DB2">
      <w:r w:rsidRPr="00173DB2">
        <w:t>IEEFA believes that as difficult as the conventional 12-month recovery process would be, spreading the costs out over time simply serves to hide the true costs of Dominion’s gas-dependent generation capacity. It also raises fairness issues, since the fee is non-bypassable, meaning customers new to the state will have to pay it as well, even though they were not responsible for any of the costs. Finally, as noted above, there is the very real possibility that another event, driven by international geopolitical factors, domestic weather or another unforeseen issue, could push fuel costs upward again and prompt Dominion to seek yet another securitization package.</w:t>
      </w:r>
    </w:p>
    <w:p w14:paraId="36B5018B" w14:textId="77777777" w:rsidR="00173DB2" w:rsidRPr="00173DB2" w:rsidRDefault="00173DB2" w:rsidP="00173DB2">
      <w:r w:rsidRPr="00173DB2">
        <w:t xml:space="preserve">SCC staff raised concerns about just such a recurrence during consideration of the first securitization process in 2023. They restated those concerns during this year’s proceeding, writing that while the 2026 plan is a “reasonable option for the commission to consider for recovery of the 2025/2026 deferral in this </w:t>
      </w:r>
      <w:r w:rsidRPr="00173DB2">
        <w:lastRenderedPageBreak/>
        <w:t>proceeding, staff submits that repeated securitizations of deferred fuel costs on an ongoing basis [are] untenable.”</w:t>
      </w:r>
      <w:r w:rsidRPr="00173DB2">
        <w:rPr>
          <w:vertAlign w:val="superscript"/>
        </w:rPr>
        <w:endnoteReference w:id="11"/>
      </w:r>
    </w:p>
    <w:p w14:paraId="5908F036" w14:textId="77777777" w:rsidR="00173DB2" w:rsidRPr="00173DB2" w:rsidRDefault="00173DB2" w:rsidP="00173DB2">
      <w:r w:rsidRPr="00173DB2">
        <w:t>Again, IEEFA agrees. But the volatility of gas prices makes yet another fuel cost securitization process highly likely, particularly if the utility plows forward with its plans to build out new gas-fired generation facilities to meet forecasted demand growth. The utility currently has plans to build a 3,000-megawatt (MW) CCGT power plant in Cumberland County, west of Richmond,</w:t>
      </w:r>
      <w:r w:rsidRPr="00173DB2">
        <w:rPr>
          <w:vertAlign w:val="superscript"/>
        </w:rPr>
        <w:endnoteReference w:id="12"/>
      </w:r>
      <w:r w:rsidRPr="00173DB2">
        <w:t xml:space="preserve"> and a 2,600-MW CCGT facility near its existing Mt. Storm coal-fired power plant in West Virginia.</w:t>
      </w:r>
      <w:r w:rsidRPr="00173DB2">
        <w:rPr>
          <w:vertAlign w:val="superscript"/>
        </w:rPr>
        <w:endnoteReference w:id="13"/>
      </w:r>
    </w:p>
    <w:p w14:paraId="46F422BB" w14:textId="77777777" w:rsidR="00173DB2" w:rsidRPr="00173DB2" w:rsidRDefault="00173DB2" w:rsidP="00173DB2">
      <w:r w:rsidRPr="00173DB2">
        <w:t>These plants will undoubtedly be state-of-the-art units similar to the utility’s efficient Greensville CCGT. But efficiency alone will not shield either plant (or any additional units announced in the utility’s soon-to-be-released long range capacity plan) from the price spikes that have hit the utility since 2022.</w:t>
      </w:r>
    </w:p>
    <w:p w14:paraId="1EE534FB" w14:textId="77777777" w:rsidR="00173DB2" w:rsidRPr="00173DB2" w:rsidRDefault="00173DB2" w:rsidP="00173DB2">
      <w:r w:rsidRPr="00173DB2">
        <w:t>Instead, a more rapid build out of renewable energy resources, dispatchable battery storage, energy efficiency, and demand side management (DSM) measures can help blunt the severity of those spikes.</w:t>
      </w:r>
    </w:p>
    <w:p w14:paraId="5A2E3AE1" w14:textId="77777777" w:rsidR="00173DB2" w:rsidRPr="00173DB2" w:rsidRDefault="00173DB2" w:rsidP="00173DB2">
      <w:r w:rsidRPr="00173DB2">
        <w:t>Offshore wind is a great resource for Dominion.</w:t>
      </w:r>
      <w:r w:rsidRPr="00173DB2">
        <w:rPr>
          <w:vertAlign w:val="superscript"/>
        </w:rPr>
        <w:endnoteReference w:id="14"/>
      </w:r>
      <w:r w:rsidRPr="00173DB2">
        <w:t xml:space="preserve"> Utility executives have said that the nearly complete 2,600-MW Coastal Virginia Offshore Wind (CVOW) will save consumers $500 million a year during its first 10 years of operation. Offshore wind farms have a lifespan significantly longer than 10 years, meaning the fuel savings should be substantially higher than $5 billion. Dominion should be moving forward now with plans for its next offshore facility: It already owns the site for a second project and its first-of-its-kind U.S.-built installation ship, </w:t>
      </w:r>
      <w:r w:rsidRPr="00173DB2">
        <w:rPr>
          <w:i/>
          <w:iCs/>
        </w:rPr>
        <w:t>Charybdis</w:t>
      </w:r>
      <w:r w:rsidRPr="00173DB2">
        <w:t xml:space="preserve">, is ready to go. Delays will not save ratepayers anything. </w:t>
      </w:r>
    </w:p>
    <w:p w14:paraId="3A959E55" w14:textId="77777777" w:rsidR="00173DB2" w:rsidRPr="00173DB2" w:rsidRDefault="00173DB2" w:rsidP="00173DB2">
      <w:r w:rsidRPr="00173DB2">
        <w:t>Solar and dispatchable storage, both paired and individually, are also good options for Dominion, particularly to lower peak prices by pushing inefficient gas combustion turbines out of the market.</w:t>
      </w:r>
    </w:p>
    <w:p w14:paraId="18E7FF7E" w14:textId="77777777" w:rsidR="00173DB2" w:rsidRPr="00173DB2" w:rsidRDefault="00173DB2" w:rsidP="00173DB2">
      <w:r w:rsidRPr="00173DB2">
        <w:t>Finally, efficiency measures, demand side management, and virtual power plants are economic options that can dampen gas-related price spikes. Efficiency efforts obviate the need for generation to start with, meaning Dominion’s next new gas plant may not even be needed or at the very least could be downsized. DSM enables flexible load sources to curtail their demand at peak periods, saving them money and helping the utility meet remaining load without resorting to high-priced, often gas-fired resources. And virtual power plants, whether utility or third-party controlled, have shown their ability to contribute to peak demand needs in programs nationwide.</w:t>
      </w:r>
    </w:p>
    <w:p w14:paraId="17414BBC" w14:textId="77777777" w:rsidR="00173DB2" w:rsidRDefault="00173DB2" w:rsidP="00173DB2">
      <w:r w:rsidRPr="00173DB2">
        <w:lastRenderedPageBreak/>
        <w:t>Virginia regulators, politicians, and consumers need to push Dominion to slow its pell-mell rush to gas. The 2023 and 2026 securitization initiatives underscore how costly gas-fired power can be. Factoring those real-world costs into Dominion’s long-term resource plans should help tilt the playing field toward fuel-free options, benefiting consumers and helping the utility comply with the state’s fossil fuel phase-out goals.</w:t>
      </w:r>
    </w:p>
    <w:p w14:paraId="2687B640" w14:textId="77777777" w:rsidR="00173DB2" w:rsidRDefault="00173DB2" w:rsidP="00173DB2"/>
    <w:p w14:paraId="7E806CD5" w14:textId="77777777" w:rsidR="00173DB2" w:rsidRDefault="00173DB2" w:rsidP="00173DB2"/>
    <w:p w14:paraId="59916BC6" w14:textId="77777777" w:rsidR="00173DB2" w:rsidRDefault="00173DB2" w:rsidP="00173DB2"/>
    <w:p w14:paraId="507AA93A" w14:textId="77777777" w:rsidR="00173DB2" w:rsidRDefault="00173DB2" w:rsidP="00173DB2"/>
    <w:p w14:paraId="790E80C6" w14:textId="77777777" w:rsidR="00173DB2" w:rsidRDefault="00173DB2" w:rsidP="00173DB2"/>
    <w:p w14:paraId="0D0EA7EE" w14:textId="77777777" w:rsidR="00173DB2" w:rsidRDefault="00173DB2" w:rsidP="00173DB2"/>
    <w:p w14:paraId="5698B71F" w14:textId="77777777" w:rsidR="00173DB2" w:rsidRDefault="00173DB2" w:rsidP="00173DB2"/>
    <w:p w14:paraId="52CC40A3" w14:textId="77777777" w:rsidR="00173DB2" w:rsidRDefault="00173DB2" w:rsidP="00173DB2"/>
    <w:p w14:paraId="0FDB7D94" w14:textId="77777777" w:rsidR="00173DB2" w:rsidRDefault="00173DB2" w:rsidP="00173DB2"/>
    <w:p w14:paraId="6533704A" w14:textId="77777777" w:rsidR="00173DB2" w:rsidRDefault="00173DB2" w:rsidP="00173DB2"/>
    <w:p w14:paraId="0472F27F" w14:textId="77777777" w:rsidR="00173DB2" w:rsidRDefault="00173DB2" w:rsidP="00173DB2"/>
    <w:p w14:paraId="15378B1F" w14:textId="77777777" w:rsidR="00173DB2" w:rsidRDefault="00173DB2" w:rsidP="00173DB2"/>
    <w:bookmarkEnd w:id="0"/>
    <w:bookmarkEnd w:id="1"/>
    <w:bookmarkEnd w:id="2"/>
    <w:p w14:paraId="61908D0A" w14:textId="77777777" w:rsidR="00173DB2" w:rsidRDefault="00173DB2" w:rsidP="00173DB2"/>
    <w:sectPr w:rsidR="00173DB2" w:rsidSect="0032502C">
      <w:headerReference w:type="even" r:id="rId9"/>
      <w:headerReference w:type="default" r:id="rId10"/>
      <w:footerReference w:type="even" r:id="rId11"/>
      <w:footerReference w:type="default" r:id="rId12"/>
      <w:headerReference w:type="first" r:id="rId13"/>
      <w:footerReference w:type="first" r:id="rId14"/>
      <w:endnotePr>
        <w:numFmt w:val="decimal"/>
      </w:endnotePr>
      <w:pgSz w:w="12240" w:h="15840" w:code="1"/>
      <w:pgMar w:top="1304" w:right="862" w:bottom="862" w:left="862" w:header="397" w:footer="57" w:gutter="0"/>
      <w:cols w:space="720"/>
      <w:titlePg/>
      <w:docGrid w:linePitch="38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477CA2E" w14:textId="77777777" w:rsidR="00375BE8" w:rsidRDefault="00375BE8" w:rsidP="00676016">
      <w:r>
        <w:separator/>
      </w:r>
    </w:p>
    <w:p w14:paraId="52940DE4" w14:textId="77777777" w:rsidR="00375BE8" w:rsidRDefault="00375BE8" w:rsidP="00676016"/>
  </w:endnote>
  <w:endnote w:type="continuationSeparator" w:id="0">
    <w:p w14:paraId="4FE035CE" w14:textId="77777777" w:rsidR="00375BE8" w:rsidRDefault="00375BE8" w:rsidP="00676016">
      <w:r>
        <w:continuationSeparator/>
      </w:r>
    </w:p>
    <w:p w14:paraId="677D03DD" w14:textId="77777777" w:rsidR="00375BE8" w:rsidRDefault="00375BE8" w:rsidP="00676016"/>
  </w:endnote>
  <w:endnote w:type="continuationNotice" w:id="1">
    <w:p w14:paraId="19C48FD7" w14:textId="77777777" w:rsidR="00375BE8" w:rsidRDefault="00375BE8" w:rsidP="00676016"/>
  </w:endnote>
  <w:endnote w:id="2">
    <w:p w14:paraId="4EEDECDE" w14:textId="77777777" w:rsidR="00AA3E66" w:rsidRPr="00173DB2" w:rsidRDefault="00AA3E66" w:rsidP="00AA3E66">
      <w:pPr>
        <w:pStyle w:val="Heading1"/>
      </w:pPr>
      <w:r>
        <w:t>Endnotes</w:t>
      </w:r>
    </w:p>
    <w:p w14:paraId="74A6C991" w14:textId="77777777" w:rsidR="00173DB2" w:rsidRDefault="00173DB2" w:rsidP="00173DB2">
      <w:pPr>
        <w:pStyle w:val="EndnoteText"/>
      </w:pPr>
    </w:p>
    <w:p w14:paraId="3D8FB6E3" w14:textId="77777777" w:rsidR="00173DB2" w:rsidRDefault="00173DB2" w:rsidP="00173DB2">
      <w:pPr>
        <w:pStyle w:val="EndnoteText"/>
      </w:pPr>
      <w:r>
        <w:rPr>
          <w:rStyle w:val="EndnoteReference"/>
        </w:rPr>
        <w:endnoteRef/>
      </w:r>
      <w:r>
        <w:t xml:space="preserve"> Virginia State Corporation Commission. Case No. </w:t>
      </w:r>
      <w:hyperlink r:id="rId1" w:history="1">
        <w:r w:rsidRPr="00BC3654">
          <w:rPr>
            <w:rStyle w:val="Hyperlink"/>
          </w:rPr>
          <w:t>PUR-2026-00058</w:t>
        </w:r>
      </w:hyperlink>
      <w:r>
        <w:t xml:space="preserve">. September 29, 2026. </w:t>
      </w:r>
    </w:p>
  </w:endnote>
  <w:endnote w:id="3">
    <w:p w14:paraId="4D67FC01" w14:textId="77777777" w:rsidR="00173DB2" w:rsidRDefault="00173DB2" w:rsidP="00173DB2">
      <w:pPr>
        <w:pStyle w:val="EndnoteText"/>
      </w:pPr>
      <w:r>
        <w:rPr>
          <w:rStyle w:val="EndnoteReference"/>
        </w:rPr>
        <w:endnoteRef/>
      </w:r>
      <w:r>
        <w:t xml:space="preserve"> </w:t>
      </w:r>
      <w:r w:rsidRPr="00E70FC5">
        <w:t>Dominion has an annual proceeding at the SCC where it estimates its fuel costs for the coming year. Once approved by the commission those costs</w:t>
      </w:r>
      <w:r>
        <w:t xml:space="preserve">, measured on a cents per kilowatt-hour basis, </w:t>
      </w:r>
      <w:r w:rsidRPr="00E70FC5">
        <w:t>are added to customer bills for th</w:t>
      </w:r>
      <w:r>
        <w:t>e next</w:t>
      </w:r>
      <w:r w:rsidRPr="00E70FC5">
        <w:t xml:space="preserve"> year. Unrecovered fuel costs from the </w:t>
      </w:r>
      <w:r>
        <w:t xml:space="preserve">current </w:t>
      </w:r>
      <w:r w:rsidRPr="00E70FC5">
        <w:t>year are generally rolled into the new rate set in th</w:t>
      </w:r>
      <w:r>
        <w:t>at</w:t>
      </w:r>
      <w:r w:rsidRPr="00E70FC5">
        <w:t xml:space="preserve"> proceeding and collected over </w:t>
      </w:r>
      <w:r>
        <w:t xml:space="preserve">the following </w:t>
      </w:r>
      <w:r w:rsidRPr="00E70FC5">
        <w:t>12 months.</w:t>
      </w:r>
    </w:p>
  </w:endnote>
  <w:endnote w:id="4">
    <w:p w14:paraId="293B8E87" w14:textId="77777777" w:rsidR="00173DB2" w:rsidRDefault="00173DB2" w:rsidP="00173DB2">
      <w:pPr>
        <w:pStyle w:val="EndnoteText"/>
      </w:pPr>
      <w:r>
        <w:rPr>
          <w:rStyle w:val="EndnoteReference"/>
        </w:rPr>
        <w:endnoteRef/>
      </w:r>
      <w:r>
        <w:t xml:space="preserve"> Virginia State Corporation Commission. Case No. </w:t>
      </w:r>
      <w:hyperlink r:id="rId2" w:history="1">
        <w:r w:rsidRPr="00EA7912">
          <w:rPr>
            <w:rStyle w:val="Hyperlink"/>
          </w:rPr>
          <w:t>PUR-2023-00112</w:t>
        </w:r>
      </w:hyperlink>
      <w:r>
        <w:t>. November 3. 2023.</w:t>
      </w:r>
    </w:p>
  </w:endnote>
  <w:endnote w:id="5">
    <w:p w14:paraId="6CD7948D" w14:textId="77777777" w:rsidR="00173DB2" w:rsidRDefault="00173DB2" w:rsidP="00173DB2">
      <w:pPr>
        <w:pStyle w:val="EndnoteText"/>
      </w:pPr>
      <w:r>
        <w:rPr>
          <w:rStyle w:val="EndnoteReference"/>
        </w:rPr>
        <w:endnoteRef/>
      </w:r>
      <w:r>
        <w:t xml:space="preserve"> Testimony of Carol Myers, </w:t>
      </w:r>
      <w:hyperlink r:id="rId3" w:history="1">
        <w:r w:rsidRPr="00362007">
          <w:rPr>
            <w:rStyle w:val="Hyperlink"/>
          </w:rPr>
          <w:t>PUR-2026-00058</w:t>
        </w:r>
      </w:hyperlink>
      <w:r>
        <w:t xml:space="preserve"> and PUR-2026-00078. July 14, 2026. Page 10.</w:t>
      </w:r>
    </w:p>
  </w:endnote>
  <w:endnote w:id="6">
    <w:p w14:paraId="256AD851" w14:textId="77777777" w:rsidR="00173DB2" w:rsidRDefault="00173DB2" w:rsidP="00173DB2">
      <w:pPr>
        <w:pStyle w:val="EndnoteText"/>
      </w:pPr>
      <w:r>
        <w:rPr>
          <w:rStyle w:val="EndnoteReference"/>
        </w:rPr>
        <w:endnoteRef/>
      </w:r>
      <w:r>
        <w:t xml:space="preserve"> Myers, </w:t>
      </w:r>
      <w:r w:rsidRPr="007B6D01">
        <w:rPr>
          <w:i/>
          <w:iCs/>
        </w:rPr>
        <w:t>op. cit.</w:t>
      </w:r>
      <w:r>
        <w:t>, p. 11.</w:t>
      </w:r>
    </w:p>
  </w:endnote>
  <w:endnote w:id="7">
    <w:p w14:paraId="0EF94EE8" w14:textId="77777777" w:rsidR="00173DB2" w:rsidRDefault="00173DB2" w:rsidP="00173DB2">
      <w:pPr>
        <w:pStyle w:val="EndnoteText"/>
      </w:pPr>
      <w:r>
        <w:rPr>
          <w:rStyle w:val="EndnoteReference"/>
        </w:rPr>
        <w:endnoteRef/>
      </w:r>
      <w:r>
        <w:t xml:space="preserve"> S&amp;P Capital IQ (proprietary). Data accessed October 7, 2026.</w:t>
      </w:r>
    </w:p>
  </w:endnote>
  <w:endnote w:id="8">
    <w:p w14:paraId="0D54C598" w14:textId="77777777" w:rsidR="00173DB2" w:rsidRDefault="00173DB2" w:rsidP="00173DB2">
      <w:pPr>
        <w:pStyle w:val="EndnoteText"/>
      </w:pPr>
      <w:r>
        <w:rPr>
          <w:rStyle w:val="EndnoteReference"/>
        </w:rPr>
        <w:endnoteRef/>
      </w:r>
      <w:r>
        <w:t xml:space="preserve"> Data taken from the EIA-923 report, Monthly Generation and Fuel Consumption, for January 2025 and 2026. </w:t>
      </w:r>
    </w:p>
  </w:endnote>
  <w:endnote w:id="9">
    <w:p w14:paraId="082D0B40" w14:textId="77777777" w:rsidR="00173DB2" w:rsidRDefault="00173DB2" w:rsidP="00173DB2">
      <w:pPr>
        <w:pStyle w:val="EndnoteText"/>
      </w:pPr>
      <w:r>
        <w:rPr>
          <w:rStyle w:val="EndnoteReference"/>
        </w:rPr>
        <w:endnoteRef/>
      </w:r>
      <w:r>
        <w:t xml:space="preserve"> Testimony of J. Scott Gaskill. Case No. </w:t>
      </w:r>
      <w:hyperlink r:id="rId4" w:history="1">
        <w:r w:rsidRPr="00D347BF">
          <w:rPr>
            <w:rStyle w:val="Hyperlink"/>
          </w:rPr>
          <w:t>PUR-2026-00058</w:t>
        </w:r>
      </w:hyperlink>
      <w:r>
        <w:t>, May 1, 2026. Page 6.</w:t>
      </w:r>
    </w:p>
  </w:endnote>
  <w:endnote w:id="10">
    <w:p w14:paraId="43153E1D" w14:textId="77777777" w:rsidR="00173DB2" w:rsidRDefault="00173DB2" w:rsidP="00173DB2">
      <w:pPr>
        <w:pStyle w:val="EndnoteText"/>
      </w:pPr>
      <w:r>
        <w:rPr>
          <w:rStyle w:val="EndnoteReference"/>
        </w:rPr>
        <w:endnoteRef/>
      </w:r>
      <w:r>
        <w:t xml:space="preserve"> Mathias Roussy, Jr. Chief Hearing Examiner’s Report. Case No. </w:t>
      </w:r>
      <w:hyperlink r:id="rId5" w:history="1">
        <w:r w:rsidRPr="009C0211">
          <w:rPr>
            <w:rStyle w:val="Hyperlink"/>
          </w:rPr>
          <w:t>PUR-2026-00078</w:t>
        </w:r>
      </w:hyperlink>
      <w:r>
        <w:t xml:space="preserve"> and Case No. PUR 2026-00058. August 25,2026. Page 60.</w:t>
      </w:r>
    </w:p>
  </w:endnote>
  <w:endnote w:id="11">
    <w:p w14:paraId="20FCAA4A" w14:textId="22EC6EBE" w:rsidR="00173DB2" w:rsidRPr="00582971" w:rsidRDefault="00173DB2" w:rsidP="00173DB2">
      <w:pPr>
        <w:pStyle w:val="EndnoteText"/>
      </w:pPr>
      <w:r>
        <w:rPr>
          <w:rStyle w:val="EndnoteReference"/>
        </w:rPr>
        <w:endnoteRef/>
      </w:r>
      <w:r w:rsidRPr="00582971">
        <w:t xml:space="preserve"> </w:t>
      </w:r>
      <w:r>
        <w:t xml:space="preserve">Myers, </w:t>
      </w:r>
      <w:r w:rsidRPr="00173DB2">
        <w:rPr>
          <w:i/>
          <w:iCs/>
        </w:rPr>
        <w:t>op. cit.</w:t>
      </w:r>
      <w:r>
        <w:t>, p. 42.</w:t>
      </w:r>
    </w:p>
  </w:endnote>
  <w:endnote w:id="12">
    <w:p w14:paraId="181DA4DD" w14:textId="77777777" w:rsidR="00173DB2" w:rsidRDefault="00173DB2" w:rsidP="00173DB2">
      <w:pPr>
        <w:pStyle w:val="EndnoteText"/>
      </w:pPr>
      <w:r>
        <w:rPr>
          <w:rStyle w:val="EndnoteReference"/>
        </w:rPr>
        <w:endnoteRef/>
      </w:r>
      <w:r w:rsidRPr="00582971">
        <w:t xml:space="preserve"> Dominion. </w:t>
      </w:r>
      <w:hyperlink r:id="rId6" w:history="1">
        <w:r w:rsidRPr="004E4AF0">
          <w:rPr>
            <w:rStyle w:val="Hyperlink"/>
          </w:rPr>
          <w:t>Cumberland Energy Center</w:t>
        </w:r>
      </w:hyperlink>
      <w:r>
        <w:t>. Accessed October 6, 2026.</w:t>
      </w:r>
    </w:p>
  </w:endnote>
  <w:endnote w:id="13">
    <w:p w14:paraId="444A6CCE" w14:textId="77777777" w:rsidR="00173DB2" w:rsidRDefault="00173DB2" w:rsidP="00173DB2">
      <w:pPr>
        <w:pStyle w:val="EndnoteText"/>
      </w:pPr>
      <w:r>
        <w:rPr>
          <w:rStyle w:val="EndnoteReference"/>
        </w:rPr>
        <w:endnoteRef/>
      </w:r>
      <w:r>
        <w:t xml:space="preserve"> Dominion. </w:t>
      </w:r>
      <w:hyperlink r:id="rId7" w:history="1">
        <w:r w:rsidRPr="00BA0424">
          <w:rPr>
            <w:rStyle w:val="Hyperlink"/>
          </w:rPr>
          <w:t>Mount Storm Energy Center</w:t>
        </w:r>
      </w:hyperlink>
      <w:r>
        <w:t>. Accessed October 6, 2026.</w:t>
      </w:r>
    </w:p>
  </w:endnote>
  <w:endnote w:id="14">
    <w:p w14:paraId="763CEF5A" w14:textId="77777777" w:rsidR="00173DB2" w:rsidRDefault="00173DB2" w:rsidP="00173DB2">
      <w:pPr>
        <w:pStyle w:val="EndnoteText"/>
      </w:pPr>
      <w:r>
        <w:rPr>
          <w:rStyle w:val="EndnoteReference"/>
        </w:rPr>
        <w:endnoteRef/>
      </w:r>
      <w:r w:rsidRPr="00564AE5">
        <w:t xml:space="preserve"> </w:t>
      </w:r>
      <w:r>
        <w:t xml:space="preserve">IEEFA. </w:t>
      </w:r>
      <w:hyperlink r:id="rId8" w:history="1">
        <w:r w:rsidRPr="009C535B">
          <w:rPr>
            <w:rStyle w:val="Hyperlink"/>
          </w:rPr>
          <w:t>Dominion-NextEra merger plan may slow clean energy transition</w:t>
        </w:r>
      </w:hyperlink>
      <w:r>
        <w:t>. October 8, 2026.</w:t>
      </w:r>
    </w:p>
    <w:p w14:paraId="795DDBBD" w14:textId="77777777" w:rsidR="00173DB2" w:rsidRDefault="00173DB2" w:rsidP="00173DB2">
      <w:pPr>
        <w:pStyle w:val="EndnoteText"/>
      </w:pPr>
    </w:p>
    <w:p w14:paraId="4E7753B3" w14:textId="77777777" w:rsidR="00B333C3" w:rsidRDefault="00B333C3" w:rsidP="00173DB2">
      <w:pPr>
        <w:pStyle w:val="EndnoteText"/>
      </w:pPr>
    </w:p>
    <w:p w14:paraId="7D75990D" w14:textId="77777777" w:rsidR="00B333C3" w:rsidRDefault="00B333C3" w:rsidP="00173DB2">
      <w:pPr>
        <w:pStyle w:val="EndnoteText"/>
      </w:pPr>
    </w:p>
    <w:p w14:paraId="1EA125C8" w14:textId="77777777" w:rsidR="00B333C3" w:rsidRDefault="00B333C3" w:rsidP="00173DB2">
      <w:pPr>
        <w:pStyle w:val="EndnoteText"/>
      </w:pPr>
    </w:p>
    <w:p w14:paraId="6EC09538" w14:textId="77777777" w:rsidR="00B333C3" w:rsidRDefault="00B333C3" w:rsidP="00173DB2">
      <w:pPr>
        <w:pStyle w:val="EndnoteText"/>
      </w:pPr>
    </w:p>
    <w:p w14:paraId="6BE409D1" w14:textId="77777777" w:rsidR="00B333C3" w:rsidRDefault="00B333C3" w:rsidP="00173DB2">
      <w:pPr>
        <w:pStyle w:val="EndnoteText"/>
      </w:pPr>
    </w:p>
    <w:p w14:paraId="51675404" w14:textId="77777777" w:rsidR="00B333C3" w:rsidRDefault="00B333C3" w:rsidP="00173DB2">
      <w:pPr>
        <w:pStyle w:val="EndnoteText"/>
      </w:pPr>
    </w:p>
    <w:p w14:paraId="128971F8" w14:textId="77777777" w:rsidR="00173DB2" w:rsidRDefault="00173DB2" w:rsidP="00173DB2">
      <w:pPr>
        <w:pStyle w:val="EndnoteText"/>
      </w:pPr>
    </w:p>
    <w:p w14:paraId="3833D6E9" w14:textId="77777777" w:rsidR="00173DB2" w:rsidRDefault="00173DB2" w:rsidP="00173DB2">
      <w:pPr>
        <w:pStyle w:val="EndnoteText"/>
      </w:pPr>
    </w:p>
    <w:p w14:paraId="21318D02" w14:textId="77777777" w:rsidR="00173DB2" w:rsidRDefault="00173DB2" w:rsidP="00173DB2">
      <w:pPr>
        <w:pStyle w:val="EndnoteText"/>
      </w:pPr>
    </w:p>
    <w:p w14:paraId="35EAE4C3" w14:textId="77777777" w:rsidR="00173DB2" w:rsidRDefault="00173DB2" w:rsidP="00173DB2">
      <w:pPr>
        <w:pStyle w:val="EndnoteText"/>
      </w:pPr>
    </w:p>
    <w:p w14:paraId="1024FDB1" w14:textId="77777777" w:rsidR="00173DB2" w:rsidRDefault="00173DB2" w:rsidP="00173DB2">
      <w:pPr>
        <w:pStyle w:val="EndnoteText"/>
      </w:pPr>
    </w:p>
    <w:p w14:paraId="0CD5F9E3" w14:textId="77777777" w:rsidR="00173DB2" w:rsidRDefault="00173DB2" w:rsidP="00173DB2">
      <w:pPr>
        <w:pStyle w:val="EndnoteText"/>
      </w:pPr>
    </w:p>
    <w:p w14:paraId="3E45A9EE" w14:textId="77777777" w:rsidR="00173DB2" w:rsidRDefault="00173DB2" w:rsidP="00173DB2">
      <w:pPr>
        <w:pStyle w:val="EndnoteText"/>
      </w:pPr>
    </w:p>
    <w:p w14:paraId="18488656" w14:textId="77777777" w:rsidR="00173DB2" w:rsidRDefault="00173DB2" w:rsidP="00173DB2">
      <w:pPr>
        <w:pStyle w:val="EndnoteText"/>
      </w:pPr>
    </w:p>
    <w:p w14:paraId="59B3292E" w14:textId="77777777" w:rsidR="00173DB2" w:rsidRDefault="00173DB2" w:rsidP="00173DB2">
      <w:pPr>
        <w:pStyle w:val="EndnoteText"/>
      </w:pPr>
    </w:p>
    <w:p w14:paraId="225E8587" w14:textId="77777777" w:rsidR="00AA3E66" w:rsidRPr="00DB7943" w:rsidRDefault="00AA3E66" w:rsidP="00AA3E66">
      <w:pPr>
        <w:pStyle w:val="Heading1"/>
        <w:rPr>
          <w:rFonts w:ascii="Arial Nova" w:hAnsi="Arial Nova"/>
        </w:rPr>
      </w:pPr>
      <w:r w:rsidRPr="00DB7943">
        <w:rPr>
          <w:rFonts w:ascii="Arial Nova" w:hAnsi="Arial Nova"/>
        </w:rPr>
        <w:t>About IEEFA</w:t>
      </w:r>
    </w:p>
    <w:p w14:paraId="1F355434" w14:textId="77777777" w:rsidR="00AA3E66" w:rsidRPr="00DB7943" w:rsidRDefault="00AA3E66" w:rsidP="00AA3E66">
      <w:pPr>
        <w:pStyle w:val="BodyText"/>
        <w:rPr>
          <w:u w:val="single"/>
        </w:rPr>
      </w:pPr>
      <w:r w:rsidRPr="00DB7943">
        <w:t xml:space="preserve">The Institute for Energy Economics and Financial Analysis (IEEFA) examines issues related to energy markets, trends, and policies. The Institute’s mission is to accelerate the transition to a diverse, sustainable, and profitable energy economy. </w:t>
      </w:r>
      <w:hyperlink r:id="rId9" w:history="1">
        <w:r w:rsidRPr="00DB7943">
          <w:rPr>
            <w:rStyle w:val="Hyperlink"/>
            <w:szCs w:val="24"/>
            <w:lang w:val="en-GB"/>
          </w:rPr>
          <w:t>www.ieefa.org</w:t>
        </w:r>
      </w:hyperlink>
    </w:p>
    <w:p w14:paraId="78F7819E" w14:textId="77777777" w:rsidR="00173DB2" w:rsidRDefault="00173DB2" w:rsidP="00173DB2">
      <w:pPr>
        <w:pStyle w:val="EndnoteText"/>
      </w:pPr>
    </w:p>
    <w:p w14:paraId="0B1C93A3" w14:textId="77777777" w:rsidR="00AA3E66" w:rsidRPr="00DB7943" w:rsidRDefault="00AA3E66" w:rsidP="00AA3E66">
      <w:pPr>
        <w:pStyle w:val="Heading1"/>
        <w:rPr>
          <w:rFonts w:ascii="Arial Nova" w:hAnsi="Arial Nova"/>
        </w:rPr>
      </w:pPr>
      <w:r w:rsidRPr="00DB7943">
        <w:rPr>
          <w:rFonts w:ascii="Arial Nova" w:hAnsi="Arial Nova"/>
        </w:rPr>
        <w:t>About the Author</w:t>
      </w:r>
    </w:p>
    <w:p w14:paraId="62588A16" w14:textId="77777777" w:rsidR="00AA3E66" w:rsidRPr="00DB7943" w:rsidRDefault="00AA3E66" w:rsidP="00AA3E66">
      <w:pPr>
        <w:pStyle w:val="Authors"/>
        <w:rPr>
          <w:rFonts w:ascii="Arial Nova" w:hAnsi="Arial Nova"/>
        </w:rPr>
      </w:pPr>
      <w:r w:rsidRPr="00DB7943">
        <w:rPr>
          <w:rFonts w:ascii="Arial Nova" w:hAnsi="Arial Nova"/>
        </w:rPr>
        <w:t>Dennis Wamsted</w:t>
      </w:r>
    </w:p>
    <w:p w14:paraId="79B65ED5" w14:textId="77777777" w:rsidR="00AA3E66" w:rsidRPr="00DB7943" w:rsidRDefault="00AA3E66" w:rsidP="00AA3E66">
      <w:pPr>
        <w:pStyle w:val="BodyText"/>
        <w:spacing w:before="120"/>
      </w:pPr>
      <w:r w:rsidRPr="00DB7943">
        <w:t>Dennis Wamsted is an IEEFA energy finance analyst who has covered energy and environmental policy and technology issues for 30 years. He is the former editor of The Energy Daily, a Washington, D.C.-based newsletter.</w:t>
      </w:r>
    </w:p>
    <w:p w14:paraId="2D4EFD68" w14:textId="77777777" w:rsidR="00173DB2" w:rsidRDefault="00173DB2" w:rsidP="00173DB2">
      <w:pPr>
        <w:pStyle w:val="EndnoteText"/>
      </w:pPr>
    </w:p>
    <w:p w14:paraId="29A1D25B" w14:textId="77777777" w:rsidR="00173DB2" w:rsidRPr="00564AE5" w:rsidRDefault="00173DB2" w:rsidP="00173DB2">
      <w:pPr>
        <w:pStyle w:val="EndnoteText"/>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Nova">
    <w:charset w:val="00"/>
    <w:family w:val="swiss"/>
    <w:pitch w:val="variable"/>
    <w:sig w:usb0="0000028F" w:usb1="00000002" w:usb2="00000000" w:usb3="00000000" w:csb0="0000019F" w:csb1="00000000"/>
  </w:font>
  <w:font w:name="Mangal">
    <w:panose1 w:val="00000400000000000000"/>
    <w:charset w:val="00"/>
    <w:family w:val="roman"/>
    <w:pitch w:val="variable"/>
    <w:sig w:usb0="00008003" w:usb1="00000000" w:usb2="00000000" w:usb3="00000000" w:csb0="00000001" w:csb1="00000000"/>
  </w:font>
  <w:font w:name="Inter ExtraBold">
    <w:altName w:val="Calibri"/>
    <w:charset w:val="00"/>
    <w:family w:val="auto"/>
    <w:pitch w:val="variable"/>
    <w:sig w:usb0="E00002FF" w:usb1="1200A1FF" w:usb2="00000001"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Inter SemiBold Italic">
    <w:altName w:val="Cambria Math"/>
    <w:charset w:val="00"/>
    <w:family w:val="auto"/>
    <w:pitch w:val="variable"/>
    <w:sig w:usb0="E00002FF" w:usb1="1200A1FF" w:usb2="00000001" w:usb3="00000000" w:csb0="0000019F" w:csb1="00000000"/>
  </w:font>
  <w:font w:name="Tahoma">
    <w:panose1 w:val="020B0604030504040204"/>
    <w:charset w:val="00"/>
    <w:family w:val="swiss"/>
    <w:pitch w:val="variable"/>
    <w:sig w:usb0="E1002EFF" w:usb1="C000605B" w:usb2="00000029" w:usb3="00000000" w:csb0="000101FF" w:csb1="00000000"/>
  </w:font>
  <w:font w:name="Inter Italic">
    <w:altName w:val="Calibri"/>
    <w:charset w:val="00"/>
    <w:family w:val="auto"/>
    <w:pitch w:val="variable"/>
    <w:sig w:usb0="E00002FF" w:usb1="1200A1FF" w:usb2="00000001" w:usb3="00000000" w:csb0="0000019F" w:csb1="00000000"/>
  </w:font>
  <w:font w:name="MS Mincho">
    <w:panose1 w:val="02020609040205080304"/>
    <w:charset w:val="80"/>
    <w:family w:val="modern"/>
    <w:pitch w:val="fixed"/>
    <w:sig w:usb0="E00002FF" w:usb1="6AC7FDFB" w:usb2="08000012" w:usb3="00000000" w:csb0="0002009F" w:csb1="00000000"/>
  </w:font>
  <w:font w:name="Inter Medium Italic">
    <w:altName w:val="Calibri"/>
    <w:charset w:val="00"/>
    <w:family w:val="auto"/>
    <w:pitch w:val="variable"/>
    <w:sig w:usb0="E00002FF" w:usb1="1200A1FF" w:usb2="00000001" w:usb3="00000000" w:csb0="0000019F" w:csb1="00000000"/>
  </w:font>
  <w:font w:name="Inter SemiBold">
    <w:altName w:val="Calibri"/>
    <w:charset w:val="00"/>
    <w:family w:val="auto"/>
    <w:pitch w:val="variable"/>
    <w:sig w:usb0="E00002FF" w:usb1="1200A1FF" w:usb2="00000001" w:usb3="00000000" w:csb0="0000019F" w:csb1="00000000"/>
  </w:font>
  <w:font w:name="Inter">
    <w:charset w:val="00"/>
    <w:family w:val="auto"/>
    <w:pitch w:val="variable"/>
    <w:sig w:usb0="E00002FF" w:usb1="1200A1FF" w:usb2="00000001" w:usb3="00000000" w:csb0="0000019F" w:csb1="00000000"/>
  </w:font>
  <w:font w:name="Times New Roman (Body CS)">
    <w:altName w:val="Times New Roman"/>
    <w:charset w:val="00"/>
    <w:family w:val="roman"/>
    <w:pitch w:val="variable"/>
    <w:sig w:usb0="E0002AFF" w:usb1="C0007841" w:usb2="00000009" w:usb3="00000000" w:csb0="000001FF" w:csb1="00000000"/>
  </w:font>
  <w:font w:name="MinionPro-Regular">
    <w:panose1 w:val="00000000000000000000"/>
    <w:charset w:val="4D"/>
    <w:family w:val="auto"/>
    <w:notTrueType/>
    <w:pitch w:val="default"/>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Pr>
      <w:id w:val="1670048341"/>
      <w:docPartObj>
        <w:docPartGallery w:val="Page Numbers (Bottom of Page)"/>
        <w:docPartUnique/>
      </w:docPartObj>
    </w:sdtPr>
    <w:sdtEndPr>
      <w:rPr>
        <w:rStyle w:val="PageNumber"/>
      </w:rPr>
    </w:sdtEndPr>
    <w:sdtContent>
      <w:p w14:paraId="1F4E7CB2" w14:textId="30182B08" w:rsidR="00E032FB" w:rsidRDefault="00E032FB" w:rsidP="00E032FB">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2</w:t>
        </w:r>
        <w:r>
          <w:rPr>
            <w:rStyle w:val="PageNumber"/>
          </w:rPr>
          <w:fldChar w:fldCharType="end"/>
        </w:r>
      </w:p>
    </w:sdtContent>
  </w:sdt>
  <w:p w14:paraId="24C471CD" w14:textId="77777777" w:rsidR="00E032FB" w:rsidRDefault="00E032FB" w:rsidP="00E032FB">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Pr>
      <w:id w:val="236065266"/>
      <w:docPartObj>
        <w:docPartGallery w:val="Page Numbers (Bottom of Page)"/>
        <w:docPartUnique/>
      </w:docPartObj>
    </w:sdtPr>
    <w:sdtEndPr>
      <w:rPr>
        <w:rStyle w:val="PageNumber"/>
      </w:rPr>
    </w:sdtEndPr>
    <w:sdtContent>
      <w:p w14:paraId="0C8750BF" w14:textId="7AB6F8D7" w:rsidR="00E032FB" w:rsidRDefault="00E032FB" w:rsidP="00E032FB">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3</w:t>
        </w:r>
        <w:r>
          <w:rPr>
            <w:rStyle w:val="PageNumber"/>
          </w:rPr>
          <w:fldChar w:fldCharType="end"/>
        </w:r>
      </w:p>
    </w:sdtContent>
  </w:sdt>
  <w:p w14:paraId="3585255D" w14:textId="77777777" w:rsidR="00065D57" w:rsidRPr="00065D57" w:rsidRDefault="0032502C" w:rsidP="00065D57">
    <w:pPr>
      <w:pStyle w:val="Footer"/>
      <w:ind w:right="360"/>
      <w:rPr>
        <w:iCs/>
      </w:rPr>
    </w:pPr>
    <w:r w:rsidRPr="00065D57">
      <w:rPr>
        <w:iCs/>
        <w:noProof/>
      </w:rPr>
      <mc:AlternateContent>
        <mc:Choice Requires="wps">
          <w:drawing>
            <wp:anchor distT="0" distB="0" distL="114300" distR="114300" simplePos="0" relativeHeight="251693058" behindDoc="0" locked="0" layoutInCell="1" allowOverlap="1" wp14:anchorId="66C001BB" wp14:editId="3E9524FC">
              <wp:simplePos x="0" y="0"/>
              <wp:positionH relativeFrom="column">
                <wp:posOffset>6511290</wp:posOffset>
              </wp:positionH>
              <wp:positionV relativeFrom="paragraph">
                <wp:posOffset>19685</wp:posOffset>
              </wp:positionV>
              <wp:extent cx="0" cy="205105"/>
              <wp:effectExtent l="0" t="0" r="12700" b="10795"/>
              <wp:wrapNone/>
              <wp:docPr id="1021184642" name="Straight Connector 6"/>
              <wp:cNvGraphicFramePr/>
              <a:graphic xmlns:a="http://schemas.openxmlformats.org/drawingml/2006/main">
                <a:graphicData uri="http://schemas.microsoft.com/office/word/2010/wordprocessingShape">
                  <wps:wsp>
                    <wps:cNvCnPr/>
                    <wps:spPr>
                      <a:xfrm>
                        <a:off x="0" y="0"/>
                        <a:ext cx="0" cy="205105"/>
                      </a:xfrm>
                      <a:prstGeom prst="line">
                        <a:avLst/>
                      </a:prstGeom>
                      <a:ln w="9525">
                        <a:solidFill>
                          <a:schemeClr val="tx1"/>
                        </a:solidFill>
                      </a:ln>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3E53354B" id="Straight Connector 6" o:spid="_x0000_s1026" style="position:absolute;z-index:251693058;visibility:visible;mso-wrap-style:square;mso-wrap-distance-left:9pt;mso-wrap-distance-top:0;mso-wrap-distance-right:9pt;mso-wrap-distance-bottom:0;mso-position-horizontal:absolute;mso-position-horizontal-relative:text;mso-position-vertical:absolute;mso-position-vertical-relative:text" from="512.7pt,1.55pt" to="512.7pt,17.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" strokecolor="#1d2933 [3213]"/>
          </w:pict>
        </mc:Fallback>
      </mc:AlternateContent>
    </w:r>
    <w:r w:rsidRPr="00065D57">
      <w:rPr>
        <w:iCs/>
        <w:noProof/>
      </w:rPr>
      <mc:AlternateContent>
        <mc:Choice Requires="wps">
          <w:drawing>
            <wp:anchor distT="0" distB="0" distL="114300" distR="114300" simplePos="0" relativeHeight="251692034" behindDoc="0" locked="0" layoutInCell="1" allowOverlap="1" wp14:anchorId="22F92C68" wp14:editId="227A0817">
              <wp:simplePos x="0" y="0"/>
              <wp:positionH relativeFrom="column">
                <wp:posOffset>4995113</wp:posOffset>
              </wp:positionH>
              <wp:positionV relativeFrom="paragraph">
                <wp:posOffset>-172085</wp:posOffset>
              </wp:positionV>
              <wp:extent cx="1535430" cy="490855"/>
              <wp:effectExtent l="0" t="0" r="1270" b="4445"/>
              <wp:wrapNone/>
              <wp:docPr id="947137115" name="Text Box 5"/>
              <wp:cNvGraphicFramePr/>
              <a:graphic xmlns:a="http://schemas.openxmlformats.org/drawingml/2006/main">
                <a:graphicData uri="http://schemas.microsoft.com/office/word/2010/wordprocessingShape">
                  <wps:wsp>
                    <wps:cNvSpPr txBox="1"/>
                    <wps:spPr>
                      <a:xfrm>
                        <a:off x="0" y="0"/>
                        <a:ext cx="1535430" cy="490855"/>
                      </a:xfrm>
                      <a:prstGeom prst="rect">
                        <a:avLst/>
                      </a:prstGeom>
                      <a:solidFill>
                        <a:schemeClr val="lt1"/>
                      </a:solidFill>
                      <a:ln w="6350">
                        <a:noFill/>
                      </a:ln>
                    </wps:spPr>
                    <wps:txbx>
                      <w:txbxContent>
                        <w:p w14:paraId="00019597" w14:textId="77777777" w:rsidR="001B4AE5" w:rsidRPr="001B4AE5" w:rsidRDefault="001B4AE5" w:rsidP="001B4AE5">
                          <w:pPr>
                            <w:jc w:val="right"/>
                            <w:rPr>
                              <w:color w:val="1D2933" w:themeColor="text1"/>
                              <w:sz w:val="21"/>
                              <w:szCs w:val="18"/>
                            </w:rPr>
                          </w:pPr>
                          <w:r w:rsidRPr="001B4AE5">
                            <w:rPr>
                              <w:color w:val="1D2933" w:themeColor="text1"/>
                              <w:sz w:val="21"/>
                              <w:szCs w:val="18"/>
                            </w:rPr>
                            <w:t>ieefa.org</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shapetype w14:anchorId="22F92C68" id="_x0000_t202" coordsize="21600,21600" o:spt="202" path="m,l,21600r21600,l21600,xe">
              <v:stroke joinstyle="miter"/>
              <v:path gradientshapeok="t" o:connecttype="rect"/>
            </v:shapetype>
            <v:shape id="Text Box 5" o:spid="_x0000_s1027" type="#_x0000_t202" style="position:absolute;margin-left:393.3pt;margin-top:-13.55pt;width:120.9pt;height:38.65pt;z-index:25169203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" fillcolor="white [3201]" stroked="f" strokeweight=".5pt">
              <v:textbox>
                <w:txbxContent>
                  <w:p w14:paraId="00019597" w14:textId="77777777" w:rsidR="001B4AE5" w:rsidRPr="001B4AE5" w:rsidRDefault="001B4AE5" w:rsidP="001B4AE5">
                    <w:pPr>
                      <w:jc w:val="right"/>
                      <w:rPr>
                        <w:color w:val="1D2933" w:themeColor="text1"/>
                        <w:sz w:val="21"/>
                        <w:szCs w:val="18"/>
                      </w:rPr>
                    </w:pPr>
                    <w:r w:rsidRPr="001B4AE5">
                      <w:rPr>
                        <w:color w:val="1D2933" w:themeColor="text1"/>
                        <w:sz w:val="21"/>
                        <w:szCs w:val="18"/>
                      </w:rPr>
                      <w:t>ieefa.org</w:t>
                    </w:r>
                  </w:p>
                </w:txbxContent>
              </v:textbox>
            </v:shape>
          </w:pict>
        </mc:Fallback>
      </mc:AlternateContent>
    </w:r>
    <w:r w:rsidR="00065D57" w:rsidRPr="00065D57">
      <w:rPr>
        <w:iCs/>
      </w:rPr>
      <w:t>Time to Put the Brakes on Dominion’s Fuel Cost Securitizations</w:t>
    </w:r>
  </w:p>
  <w:p w14:paraId="3FA58994" w14:textId="4FF7439D" w:rsidR="001A0935" w:rsidRDefault="001A0935" w:rsidP="00E032FB">
    <w:pPr>
      <w:pStyle w:val="Footer"/>
      <w:ind w:right="360"/>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0B3A126" w14:textId="77777777" w:rsidR="00CE68B3" w:rsidRPr="00065D57" w:rsidRDefault="0032502C" w:rsidP="00CE68B3">
    <w:pPr>
      <w:pStyle w:val="Footer"/>
      <w:tabs>
        <w:tab w:val="left" w:pos="1084"/>
        <w:tab w:val="left" w:pos="5535"/>
      </w:tabs>
      <w:rPr>
        <w:iCs/>
      </w:rPr>
    </w:pPr>
    <w:r w:rsidRPr="00065D57">
      <w:rPr>
        <w:iCs/>
        <w:noProof/>
      </w:rPr>
      <mc:AlternateContent>
        <mc:Choice Requires="wps">
          <w:drawing>
            <wp:anchor distT="0" distB="0" distL="114300" distR="114300" simplePos="0" relativeHeight="251688962" behindDoc="0" locked="0" layoutInCell="1" allowOverlap="1" wp14:anchorId="1F81C8E4" wp14:editId="2DCFB357">
              <wp:simplePos x="0" y="0"/>
              <wp:positionH relativeFrom="column">
                <wp:posOffset>4953000</wp:posOffset>
              </wp:positionH>
              <wp:positionV relativeFrom="paragraph">
                <wp:posOffset>-66675</wp:posOffset>
              </wp:positionV>
              <wp:extent cx="1535430" cy="490855"/>
              <wp:effectExtent l="0" t="0" r="1270" b="4445"/>
              <wp:wrapNone/>
              <wp:docPr id="834541581" name="Text Box 5"/>
              <wp:cNvGraphicFramePr/>
              <a:graphic xmlns:a="http://schemas.openxmlformats.org/drawingml/2006/main">
                <a:graphicData uri="http://schemas.microsoft.com/office/word/2010/wordprocessingShape">
                  <wps:wsp>
                    <wps:cNvSpPr txBox="1"/>
                    <wps:spPr>
                      <a:xfrm>
                        <a:off x="0" y="0"/>
                        <a:ext cx="1535430" cy="490855"/>
                      </a:xfrm>
                      <a:prstGeom prst="rect">
                        <a:avLst/>
                      </a:prstGeom>
                      <a:solidFill>
                        <a:schemeClr val="lt1"/>
                      </a:solidFill>
                      <a:ln w="6350">
                        <a:noFill/>
                      </a:ln>
                    </wps:spPr>
                    <wps:txbx>
                      <w:txbxContent>
                        <w:p w14:paraId="7408012D" w14:textId="75D7FC8F" w:rsidR="001B4AE5" w:rsidRPr="001B4AE5" w:rsidRDefault="001B4AE5" w:rsidP="001B4AE5">
                          <w:pPr>
                            <w:jc w:val="right"/>
                            <w:rPr>
                              <w:color w:val="1D2933" w:themeColor="text1"/>
                              <w:sz w:val="21"/>
                              <w:szCs w:val="18"/>
                            </w:rPr>
                          </w:pPr>
                          <w:r w:rsidRPr="001B4AE5">
                            <w:rPr>
                              <w:color w:val="1D2933" w:themeColor="text1"/>
                              <w:sz w:val="21"/>
                              <w:szCs w:val="18"/>
                            </w:rPr>
                            <w:t>ieefa.org</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shapetype w14:anchorId="1F81C8E4" id="_x0000_t202" coordsize="21600,21600" o:spt="202" path="m,l,21600r21600,l21600,xe">
              <v:stroke joinstyle="miter"/>
              <v:path gradientshapeok="t" o:connecttype="rect"/>
            </v:shapetype>
            <v:shape id="_x0000_s1028" type="#_x0000_t202" style="position:absolute;margin-left:390pt;margin-top:-5.25pt;width:120.9pt;height:38.65pt;z-index:251688962;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" fillcolor="white [3201]" stroked="f" strokeweight=".5pt">
              <v:textbox>
                <w:txbxContent>
                  <w:p w14:paraId="7408012D" w14:textId="75D7FC8F" w:rsidR="001B4AE5" w:rsidRPr="001B4AE5" w:rsidRDefault="001B4AE5" w:rsidP="001B4AE5">
                    <w:pPr>
                      <w:jc w:val="right"/>
                      <w:rPr>
                        <w:color w:val="1D2933" w:themeColor="text1"/>
                        <w:sz w:val="21"/>
                        <w:szCs w:val="18"/>
                      </w:rPr>
                    </w:pPr>
                    <w:r w:rsidRPr="001B4AE5">
                      <w:rPr>
                        <w:color w:val="1D2933" w:themeColor="text1"/>
                        <w:sz w:val="21"/>
                        <w:szCs w:val="18"/>
                      </w:rPr>
                      <w:t>ieefa.org</w:t>
                    </w:r>
                  </w:p>
                </w:txbxContent>
              </v:textbox>
            </v:shape>
          </w:pict>
        </mc:Fallback>
      </mc:AlternateContent>
    </w:r>
    <w:r w:rsidRPr="00065D57">
      <w:rPr>
        <w:iCs/>
        <w:noProof/>
      </w:rPr>
      <mc:AlternateContent>
        <mc:Choice Requires="wps">
          <w:drawing>
            <wp:anchor distT="0" distB="0" distL="114300" distR="114300" simplePos="0" relativeHeight="251689986" behindDoc="0" locked="0" layoutInCell="1" allowOverlap="1" wp14:anchorId="49B87FD4" wp14:editId="58436D94">
              <wp:simplePos x="0" y="0"/>
              <wp:positionH relativeFrom="column">
                <wp:posOffset>6497955</wp:posOffset>
              </wp:positionH>
              <wp:positionV relativeFrom="paragraph">
                <wp:posOffset>125730</wp:posOffset>
              </wp:positionV>
              <wp:extent cx="0" cy="205105"/>
              <wp:effectExtent l="0" t="0" r="12700" b="10795"/>
              <wp:wrapNone/>
              <wp:docPr id="941991897" name="Straight Connector 6"/>
              <wp:cNvGraphicFramePr/>
              <a:graphic xmlns:a="http://schemas.openxmlformats.org/drawingml/2006/main">
                <a:graphicData uri="http://schemas.microsoft.com/office/word/2010/wordprocessingShape">
                  <wps:wsp>
                    <wps:cNvCnPr/>
                    <wps:spPr>
                      <a:xfrm>
                        <a:off x="0" y="0"/>
                        <a:ext cx="0" cy="205105"/>
                      </a:xfrm>
                      <a:prstGeom prst="line">
                        <a:avLst/>
                      </a:prstGeom>
                      <a:ln w="9525">
                        <a:solidFill>
                          <a:schemeClr val="tx1"/>
                        </a:solidFill>
                      </a:ln>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2E60ED0B" id="Straight Connector 6" o:spid="_x0000_s1026" style="position:absolute;z-index:251689986;visibility:visible;mso-wrap-style:square;mso-wrap-distance-left:9pt;mso-wrap-distance-top:0;mso-wrap-distance-right:9pt;mso-wrap-distance-bottom:0;mso-position-horizontal:absolute;mso-position-horizontal-relative:text;mso-position-vertical:absolute;mso-position-vertical-relative:text" from="511.65pt,9.9pt" to="511.65pt,26.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" strokecolor="#1d2933 [3213]"/>
          </w:pict>
        </mc:Fallback>
      </mc:AlternateContent>
    </w:r>
    <w:r w:rsidRPr="00065D57">
      <w:rPr>
        <w:iCs/>
        <w:noProof/>
      </w:rPr>
      <mc:AlternateContent>
        <mc:Choice Requires="wps">
          <w:drawing>
            <wp:anchor distT="0" distB="0" distL="114300" distR="114300" simplePos="0" relativeHeight="251687938" behindDoc="0" locked="0" layoutInCell="1" allowOverlap="1" wp14:anchorId="5D431FFB" wp14:editId="75C772BC">
              <wp:simplePos x="0" y="0"/>
              <wp:positionH relativeFrom="column">
                <wp:posOffset>6500927</wp:posOffset>
              </wp:positionH>
              <wp:positionV relativeFrom="paragraph">
                <wp:posOffset>-61595</wp:posOffset>
              </wp:positionV>
              <wp:extent cx="457200" cy="620395"/>
              <wp:effectExtent l="0" t="0" r="0" b="1905"/>
              <wp:wrapNone/>
              <wp:docPr id="447290227" name="Text Box 4"/>
              <wp:cNvGraphicFramePr/>
              <a:graphic xmlns:a="http://schemas.openxmlformats.org/drawingml/2006/main">
                <a:graphicData uri="http://schemas.microsoft.com/office/word/2010/wordprocessingShape">
                  <wps:wsp>
                    <wps:cNvSpPr txBox="1"/>
                    <wps:spPr>
                      <a:xfrm>
                        <a:off x="0" y="0"/>
                        <a:ext cx="457200" cy="620395"/>
                      </a:xfrm>
                      <a:prstGeom prst="rect">
                        <a:avLst/>
                      </a:prstGeom>
                      <a:solidFill>
                        <a:schemeClr val="lt1"/>
                      </a:solidFill>
                      <a:ln w="6350">
                        <a:noFill/>
                      </a:ln>
                    </wps:spPr>
                    <wps:txbx>
                      <w:txbxContent>
                        <w:p w14:paraId="56BB1C35" w14:textId="5BAA249C" w:rsidR="00E032FB" w:rsidRPr="00E032FB" w:rsidRDefault="00E032FB" w:rsidP="00053D98">
                          <w:pPr>
                            <w:pStyle w:val="BodyText"/>
                          </w:pPr>
                          <w:r w:rsidRPr="00E032FB">
                            <w:t>1</w:t>
                          </w:r>
                        </w:p>
                        <w:p w14:paraId="6F5D2E0A" w14:textId="77777777" w:rsidR="00E032FB" w:rsidRDefault="00E032FB"/>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5D431FFB" id="Text Box 4" o:spid="_x0000_s1029" type="#_x0000_t202" style="position:absolute;margin-left:511.9pt;margin-top:-4.85pt;width:36pt;height:48.85pt;z-index:251687938;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" fillcolor="white [3201]" stroked="f" strokeweight=".5pt">
              <v:textbox>
                <w:txbxContent>
                  <w:p w14:paraId="56BB1C35" w14:textId="5BAA249C" w:rsidR="00E032FB" w:rsidRPr="00E032FB" w:rsidRDefault="00E032FB" w:rsidP="00053D98">
                    <w:pPr>
                      <w:pStyle w:val="BodyText"/>
                    </w:pPr>
                    <w:r w:rsidRPr="00E032FB">
                      <w:t>1</w:t>
                    </w:r>
                  </w:p>
                  <w:p w14:paraId="6F5D2E0A" w14:textId="77777777" w:rsidR="00E032FB" w:rsidRDefault="00E032FB"/>
                </w:txbxContent>
              </v:textbox>
            </v:shape>
          </w:pict>
        </mc:Fallback>
      </mc:AlternateContent>
    </w:r>
    <w:r w:rsidR="00CE68B3" w:rsidRPr="00065D57">
      <w:rPr>
        <w:iCs/>
      </w:rPr>
      <w:t>Time to Put the Brakes on Dominion’s Fuel Cost Securitizations</w:t>
    </w:r>
  </w:p>
  <w:p w14:paraId="09F6D0EA" w14:textId="663A2BA2" w:rsidR="00002F00" w:rsidRDefault="00CA40D4" w:rsidP="00CA40D4">
    <w:pPr>
      <w:pStyle w:val="Footer"/>
      <w:tabs>
        <w:tab w:val="left" w:pos="1084"/>
        <w:tab w:val="left" w:pos="5535"/>
      </w:tabs>
    </w:pPr>
    <w:r>
      <w:tab/>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8E2F6D3" w14:textId="77777777" w:rsidR="00375BE8" w:rsidRPr="005053D9" w:rsidRDefault="00375BE8" w:rsidP="00A8334A">
      <w:pPr>
        <w:pStyle w:val="Footer"/>
        <w:spacing w:after="0" w:line="240" w:lineRule="auto"/>
      </w:pPr>
      <w:r>
        <w:separator/>
      </w:r>
    </w:p>
  </w:footnote>
  <w:footnote w:type="continuationSeparator" w:id="0">
    <w:p w14:paraId="36B7BF28" w14:textId="77777777" w:rsidR="00375BE8" w:rsidRDefault="00375BE8" w:rsidP="00676016">
      <w:r>
        <w:continuationSeparator/>
      </w:r>
    </w:p>
    <w:p w14:paraId="422D2365" w14:textId="77777777" w:rsidR="00375BE8" w:rsidRDefault="00375BE8" w:rsidP="00676016"/>
  </w:footnote>
  <w:footnote w:type="continuationNotice" w:id="1">
    <w:p w14:paraId="7F09F073" w14:textId="77777777" w:rsidR="00375BE8" w:rsidRDefault="00375BE8" w:rsidP="00676016"/>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40A4002" w14:textId="77777777" w:rsidR="00CE68B3" w:rsidRDefault="00CE68B3">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2BFD74F" w14:textId="60D0B787" w:rsidR="0032502C" w:rsidRDefault="0032502C">
    <w:pPr>
      <w:pStyle w:val="Header"/>
    </w:pPr>
    <w:r>
      <w:rPr>
        <w:noProof/>
      </w:rPr>
      <w:drawing>
        <wp:anchor distT="0" distB="0" distL="114300" distR="114300" simplePos="0" relativeHeight="251696130" behindDoc="1" locked="0" layoutInCell="1" allowOverlap="1" wp14:anchorId="421DA71C" wp14:editId="7030F942">
          <wp:simplePos x="0" y="0"/>
          <wp:positionH relativeFrom="column">
            <wp:posOffset>-420830</wp:posOffset>
          </wp:positionH>
          <wp:positionV relativeFrom="paragraph">
            <wp:posOffset>-135620</wp:posOffset>
          </wp:positionV>
          <wp:extent cx="7557770" cy="548640"/>
          <wp:effectExtent l="0" t="0" r="0" b="0"/>
          <wp:wrapNone/>
          <wp:docPr id="1634704570"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34704570" name="Picture 1634704570"/>
                  <pic:cNvPicPr/>
                </pic:nvPicPr>
                <pic:blipFill>
                  <a:blip r:embed="rId1">
                    <a:extLst>
                      <a:ext uri="{28A0092B-C50C-407E-A947-70E740481C1C}">
                        <a14:useLocalDpi xmlns:a14="http://schemas.microsoft.com/office/drawing/2010/main" val="0"/>
                      </a:ext>
                    </a:extLst>
                  </a:blip>
                  <a:stretch>
                    <a:fillRect/>
                  </a:stretch>
                </pic:blipFill>
                <pic:spPr>
                  <a:xfrm>
                    <a:off x="0" y="0"/>
                    <a:ext cx="7557770" cy="548640"/>
                  </a:xfrm>
                  <a:prstGeom prst="rect">
                    <a:avLst/>
                  </a:prstGeom>
                </pic:spPr>
              </pic:pic>
            </a:graphicData>
          </a:graphic>
          <wp14:sizeRelH relativeFrom="page">
            <wp14:pctWidth>0</wp14:pctWidth>
          </wp14:sizeRelH>
          <wp14:sizeRelV relativeFrom="page">
            <wp14:pctHeight>0</wp14:pctHeight>
          </wp14:sizeRelV>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8EE3023" w14:textId="14C764C3" w:rsidR="00566CF6" w:rsidRDefault="00425985">
    <w:pPr>
      <w:pStyle w:val="Header"/>
    </w:pPr>
    <w:r>
      <w:rPr>
        <w:noProof/>
      </w:rPr>
      <w:drawing>
        <wp:anchor distT="0" distB="0" distL="114300" distR="114300" simplePos="0" relativeHeight="251683842" behindDoc="0" locked="0" layoutInCell="1" allowOverlap="1" wp14:anchorId="7E367056" wp14:editId="396396CF">
          <wp:simplePos x="0" y="0"/>
          <wp:positionH relativeFrom="column">
            <wp:posOffset>-585926</wp:posOffset>
          </wp:positionH>
          <wp:positionV relativeFrom="paragraph">
            <wp:posOffset>-297180</wp:posOffset>
          </wp:positionV>
          <wp:extent cx="7880072" cy="2012179"/>
          <wp:effectExtent l="50800" t="12700" r="0" b="83820"/>
          <wp:wrapNone/>
          <wp:docPr id="2027145362"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27145362" name="Picture 18"/>
                  <pic:cNvPicPr/>
                </pic:nvPicPr>
                <pic:blipFill rotWithShape="1">
                  <a:blip r:embed="rId1">
                    <a:extLst>
                      <a:ext uri="{28A0092B-C50C-407E-A947-70E740481C1C}">
                        <a14:useLocalDpi xmlns:a14="http://schemas.microsoft.com/office/drawing/2010/main" val="0"/>
                      </a:ext>
                    </a:extLst>
                  </a:blip>
                  <a:srcRect l="1025" t="26653" r="-1025" b="35011"/>
                  <a:stretch/>
                </pic:blipFill>
                <pic:spPr bwMode="auto">
                  <a:xfrm>
                    <a:off x="0" y="0"/>
                    <a:ext cx="7880072" cy="2012179"/>
                  </a:xfrm>
                  <a:prstGeom prst="rect">
                    <a:avLst/>
                  </a:prstGeom>
                  <a:ln>
                    <a:noFill/>
                  </a:ln>
                  <a:effectLst>
                    <a:outerShdw blurRad="50800" dist="38100" dir="5400000" algn="t" rotWithShape="0">
                      <a:prstClr val="black">
                        <a:alpha val="40000"/>
                      </a:prstClr>
                    </a:outerShdw>
                  </a:effectLst>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FF0348">
      <w:rPr>
        <w:noProof/>
        <w:lang w:val="en-IN"/>
      </w:rPr>
      <w:drawing>
        <wp:anchor distT="0" distB="0" distL="114300" distR="114300" simplePos="0" relativeHeight="251684866" behindDoc="0" locked="0" layoutInCell="1" allowOverlap="1" wp14:anchorId="25B941BF" wp14:editId="40713D3E">
          <wp:simplePos x="0" y="0"/>
          <wp:positionH relativeFrom="column">
            <wp:posOffset>0</wp:posOffset>
          </wp:positionH>
          <wp:positionV relativeFrom="paragraph">
            <wp:posOffset>130175</wp:posOffset>
          </wp:positionV>
          <wp:extent cx="2305050" cy="412115"/>
          <wp:effectExtent l="63500" t="63500" r="69850" b="57785"/>
          <wp:wrapNone/>
          <wp:docPr id="1210317306" name="Picture 21" descr="A black background with white 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4170123" name="Picture 21" descr="A black background with white text&#10;&#10;Description automatically generated"/>
                  <pic:cNvPicPr/>
                </pic:nvPicPr>
                <pic:blipFill>
                  <a:blip r:embed="rId2">
                    <a:extLst>
                      <a:ext uri="{28A0092B-C50C-407E-A947-70E740481C1C}">
                        <a14:useLocalDpi xmlns:a14="http://schemas.microsoft.com/office/drawing/2010/main" val="0"/>
                      </a:ext>
                    </a:extLst>
                  </a:blip>
                  <a:stretch>
                    <a:fillRect/>
                  </a:stretch>
                </pic:blipFill>
                <pic:spPr>
                  <a:xfrm>
                    <a:off x="0" y="0"/>
                    <a:ext cx="2305050" cy="412115"/>
                  </a:xfrm>
                  <a:prstGeom prst="rect">
                    <a:avLst/>
                  </a:prstGeom>
                  <a:effectLst>
                    <a:outerShdw blurRad="63500" algn="ctr" rotWithShape="0">
                      <a:prstClr val="black"/>
                    </a:outerShdw>
                  </a:effectLst>
                </pic:spPr>
              </pic:pic>
            </a:graphicData>
          </a:graphic>
          <wp14:sizeRelH relativeFrom="page">
            <wp14:pctWidth>0</wp14:pctWidth>
          </wp14:sizeRelH>
          <wp14:sizeRelV relativeFrom="page">
            <wp14:pctHeight>0</wp14:pctHeight>
          </wp14:sizeRelV>
        </wp:anchor>
      </w:drawing>
    </w:r>
    <w:r w:rsidR="00046242">
      <w:rPr>
        <w:noProof/>
      </w:rPr>
      <w:drawing>
        <wp:anchor distT="0" distB="0" distL="114300" distR="114300" simplePos="0" relativeHeight="251695106" behindDoc="0" locked="0" layoutInCell="1" allowOverlap="1" wp14:anchorId="2C723717" wp14:editId="7B1CB06D">
          <wp:simplePos x="0" y="0"/>
          <wp:positionH relativeFrom="column">
            <wp:posOffset>5028295</wp:posOffset>
          </wp:positionH>
          <wp:positionV relativeFrom="page">
            <wp:posOffset>379095</wp:posOffset>
          </wp:positionV>
          <wp:extent cx="1620520" cy="365125"/>
          <wp:effectExtent l="0" t="0" r="0" b="0"/>
          <wp:wrapTopAndBottom/>
          <wp:docPr id="1099163781"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99163781" name="Picture 1099163781"/>
                  <pic:cNvPicPr/>
                </pic:nvPicPr>
                <pic:blipFill rotWithShape="1">
                  <a:blip r:embed="rId3">
                    <a:extLst>
                      <a:ext uri="{28A0092B-C50C-407E-A947-70E740481C1C}">
                        <a14:useLocalDpi xmlns:a14="http://schemas.microsoft.com/office/drawing/2010/main" val="0"/>
                      </a:ext>
                    </a:extLst>
                  </a:blip>
                  <a:srcRect t="32469" b="37282"/>
                  <a:stretch/>
                </pic:blipFill>
                <pic:spPr bwMode="auto">
                  <a:xfrm>
                    <a:off x="0" y="0"/>
                    <a:ext cx="1620520" cy="365125"/>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1A10C4F3" w14:textId="77777777" w:rsidR="00566CF6" w:rsidRDefault="00566CF6" w:rsidP="00566CF6">
    <w:pPr>
      <w:pStyle w:val="Header"/>
      <w:spacing w:line="60" w:lineRule="exact"/>
    </w:pPr>
  </w:p>
  <w:p w14:paraId="5E8E3859" w14:textId="73E41043" w:rsidR="00566CF6" w:rsidRDefault="00566CF6">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60D513A5"/>
    <w:multiLevelType w:val="hybridMultilevel"/>
    <w:tmpl w:val="190661E6"/>
    <w:lvl w:ilvl="0" w:tplc="53D4823E">
      <w:start w:val="1"/>
      <w:numFmt w:val="bullet"/>
      <w:pStyle w:val="ListParagraph"/>
      <w:lvlText w:val=""/>
      <w:lvlJc w:val="left"/>
      <w:pPr>
        <w:ind w:left="36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73364133"/>
    <w:multiLevelType w:val="multilevel"/>
    <w:tmpl w:val="98AC9FA2"/>
    <w:styleLink w:val="CurrentList1"/>
    <w:lvl w:ilvl="0">
      <w:start w:val="1"/>
      <w:numFmt w:val="bullet"/>
      <w:lvlText w:val=""/>
      <w:lvlJc w:val="left"/>
      <w:pPr>
        <w:ind w:left="1440" w:hanging="360"/>
      </w:pPr>
      <w:rPr>
        <w:rFonts w:ascii="Symbol" w:hAnsi="Symbol" w:hint="default"/>
      </w:rPr>
    </w:lvl>
    <w:lvl w:ilvl="1">
      <w:start w:val="1"/>
      <w:numFmt w:val="bullet"/>
      <w:lvlText w:val="o"/>
      <w:lvlJc w:val="left"/>
      <w:pPr>
        <w:ind w:left="2160" w:hanging="360"/>
      </w:pPr>
      <w:rPr>
        <w:rFonts w:ascii="Courier New" w:hAnsi="Courier New" w:cs="Courier New" w:hint="default"/>
      </w:rPr>
    </w:lvl>
    <w:lvl w:ilvl="2">
      <w:start w:val="1"/>
      <w:numFmt w:val="bullet"/>
      <w:lvlText w:val=""/>
      <w:lvlJc w:val="left"/>
      <w:pPr>
        <w:ind w:left="2880" w:hanging="360"/>
      </w:pPr>
      <w:rPr>
        <w:rFonts w:ascii="Wingdings" w:hAnsi="Wingdings" w:hint="default"/>
      </w:rPr>
    </w:lvl>
    <w:lvl w:ilvl="3">
      <w:start w:val="1"/>
      <w:numFmt w:val="bullet"/>
      <w:lvlText w:val=""/>
      <w:lvlJc w:val="left"/>
      <w:pPr>
        <w:ind w:left="3600" w:hanging="360"/>
      </w:pPr>
      <w:rPr>
        <w:rFonts w:ascii="Symbol" w:hAnsi="Symbol" w:hint="default"/>
      </w:rPr>
    </w:lvl>
    <w:lvl w:ilvl="4">
      <w:start w:val="1"/>
      <w:numFmt w:val="bullet"/>
      <w:lvlText w:val="o"/>
      <w:lvlJc w:val="left"/>
      <w:pPr>
        <w:ind w:left="4320" w:hanging="360"/>
      </w:pPr>
      <w:rPr>
        <w:rFonts w:ascii="Courier New" w:hAnsi="Courier New" w:cs="Courier New" w:hint="default"/>
      </w:rPr>
    </w:lvl>
    <w:lvl w:ilvl="5">
      <w:start w:val="1"/>
      <w:numFmt w:val="bullet"/>
      <w:lvlText w:val=""/>
      <w:lvlJc w:val="left"/>
      <w:pPr>
        <w:ind w:left="5040" w:hanging="360"/>
      </w:pPr>
      <w:rPr>
        <w:rFonts w:ascii="Wingdings" w:hAnsi="Wingdings" w:hint="default"/>
      </w:rPr>
    </w:lvl>
    <w:lvl w:ilvl="6">
      <w:start w:val="1"/>
      <w:numFmt w:val="bullet"/>
      <w:lvlText w:val=""/>
      <w:lvlJc w:val="left"/>
      <w:pPr>
        <w:ind w:left="5760" w:hanging="360"/>
      </w:pPr>
      <w:rPr>
        <w:rFonts w:ascii="Symbol" w:hAnsi="Symbol" w:hint="default"/>
      </w:rPr>
    </w:lvl>
    <w:lvl w:ilvl="7">
      <w:start w:val="1"/>
      <w:numFmt w:val="bullet"/>
      <w:lvlText w:val="o"/>
      <w:lvlJc w:val="left"/>
      <w:pPr>
        <w:ind w:left="6480" w:hanging="360"/>
      </w:pPr>
      <w:rPr>
        <w:rFonts w:ascii="Courier New" w:hAnsi="Courier New" w:cs="Courier New" w:hint="default"/>
      </w:rPr>
    </w:lvl>
    <w:lvl w:ilvl="8">
      <w:start w:val="1"/>
      <w:numFmt w:val="bullet"/>
      <w:lvlText w:val=""/>
      <w:lvlJc w:val="left"/>
      <w:pPr>
        <w:ind w:left="7200" w:hanging="360"/>
      </w:pPr>
      <w:rPr>
        <w:rFonts w:ascii="Wingdings" w:hAnsi="Wingdings" w:hint="default"/>
      </w:rPr>
    </w:lvl>
  </w:abstractNum>
  <w:num w:numId="1" w16cid:durableId="2039577332">
    <w:abstractNumId w:val="1"/>
  </w:num>
  <w:num w:numId="2" w16cid:durableId="821775016">
    <w:abstractNumId w:val="0"/>
  </w:num>
  <w:numIdMacAtCleanup w:val="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5"/>
  <w:defaultTabStop w:val="720"/>
  <w:drawingGridHorizontalSpacing w:val="120"/>
  <w:displayHorizontalDrawingGridEvery w:val="2"/>
  <w:characterSpacingControl w:val="doNotCompress"/>
  <w:hdrShapeDefaults>
    <o:shapedefaults v:ext="edit" spidmax="2050"/>
  </w:hdrShapeDefaults>
  <w:footnotePr>
    <w:footnote w:id="-1"/>
    <w:footnote w:id="0"/>
    <w:footnote w:id="1"/>
  </w:footnotePr>
  <w:endnotePr>
    <w:numFmt w:val="decimal"/>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3762F"/>
    <w:rsid w:val="00002F00"/>
    <w:rsid w:val="00005285"/>
    <w:rsid w:val="00011A8B"/>
    <w:rsid w:val="00012FCB"/>
    <w:rsid w:val="000146D6"/>
    <w:rsid w:val="00015F3C"/>
    <w:rsid w:val="000214FF"/>
    <w:rsid w:val="00023AA4"/>
    <w:rsid w:val="0002482E"/>
    <w:rsid w:val="00025BA2"/>
    <w:rsid w:val="0002659A"/>
    <w:rsid w:val="00026A70"/>
    <w:rsid w:val="00027D22"/>
    <w:rsid w:val="000309D0"/>
    <w:rsid w:val="0003438A"/>
    <w:rsid w:val="00035AF1"/>
    <w:rsid w:val="00036AEE"/>
    <w:rsid w:val="00036F35"/>
    <w:rsid w:val="00041A8C"/>
    <w:rsid w:val="00044799"/>
    <w:rsid w:val="00044D34"/>
    <w:rsid w:val="00046242"/>
    <w:rsid w:val="00050324"/>
    <w:rsid w:val="00053D98"/>
    <w:rsid w:val="0006093F"/>
    <w:rsid w:val="00060C1D"/>
    <w:rsid w:val="00060EDC"/>
    <w:rsid w:val="00061036"/>
    <w:rsid w:val="00065D57"/>
    <w:rsid w:val="000714C6"/>
    <w:rsid w:val="00071CD9"/>
    <w:rsid w:val="000759A1"/>
    <w:rsid w:val="00086091"/>
    <w:rsid w:val="00092031"/>
    <w:rsid w:val="00094D98"/>
    <w:rsid w:val="000A0150"/>
    <w:rsid w:val="000A02F2"/>
    <w:rsid w:val="000A162D"/>
    <w:rsid w:val="000A2767"/>
    <w:rsid w:val="000A72CC"/>
    <w:rsid w:val="000B270E"/>
    <w:rsid w:val="000B5A0A"/>
    <w:rsid w:val="000C0161"/>
    <w:rsid w:val="000C0D76"/>
    <w:rsid w:val="000C2412"/>
    <w:rsid w:val="000C2D1F"/>
    <w:rsid w:val="000C67DB"/>
    <w:rsid w:val="000D0140"/>
    <w:rsid w:val="000D1FA1"/>
    <w:rsid w:val="000D45F6"/>
    <w:rsid w:val="000E1409"/>
    <w:rsid w:val="000E55DF"/>
    <w:rsid w:val="000E63C9"/>
    <w:rsid w:val="000E6A52"/>
    <w:rsid w:val="000F0E8D"/>
    <w:rsid w:val="000F1751"/>
    <w:rsid w:val="000F1BE7"/>
    <w:rsid w:val="000F62A5"/>
    <w:rsid w:val="000F783C"/>
    <w:rsid w:val="00107923"/>
    <w:rsid w:val="0011197A"/>
    <w:rsid w:val="001129E8"/>
    <w:rsid w:val="00114AE8"/>
    <w:rsid w:val="00117C65"/>
    <w:rsid w:val="001216AB"/>
    <w:rsid w:val="00125542"/>
    <w:rsid w:val="00126DDF"/>
    <w:rsid w:val="001270A0"/>
    <w:rsid w:val="00127149"/>
    <w:rsid w:val="00130E9D"/>
    <w:rsid w:val="001343C5"/>
    <w:rsid w:val="00135C60"/>
    <w:rsid w:val="00136D12"/>
    <w:rsid w:val="00142681"/>
    <w:rsid w:val="0014655A"/>
    <w:rsid w:val="00146A86"/>
    <w:rsid w:val="00147B5B"/>
    <w:rsid w:val="00150548"/>
    <w:rsid w:val="00150A6D"/>
    <w:rsid w:val="00151EEB"/>
    <w:rsid w:val="0015364E"/>
    <w:rsid w:val="0016003C"/>
    <w:rsid w:val="00163356"/>
    <w:rsid w:val="001659B7"/>
    <w:rsid w:val="0016734D"/>
    <w:rsid w:val="00171A80"/>
    <w:rsid w:val="00173A12"/>
    <w:rsid w:val="00173DB2"/>
    <w:rsid w:val="00174D9F"/>
    <w:rsid w:val="00185B35"/>
    <w:rsid w:val="00186D14"/>
    <w:rsid w:val="00190329"/>
    <w:rsid w:val="001906E3"/>
    <w:rsid w:val="0019078C"/>
    <w:rsid w:val="00193697"/>
    <w:rsid w:val="001940A1"/>
    <w:rsid w:val="00194F0C"/>
    <w:rsid w:val="0019557F"/>
    <w:rsid w:val="00196F41"/>
    <w:rsid w:val="001A0935"/>
    <w:rsid w:val="001A133C"/>
    <w:rsid w:val="001A312D"/>
    <w:rsid w:val="001A76FC"/>
    <w:rsid w:val="001A77B2"/>
    <w:rsid w:val="001B331A"/>
    <w:rsid w:val="001B3E60"/>
    <w:rsid w:val="001B4AE5"/>
    <w:rsid w:val="001B5A1C"/>
    <w:rsid w:val="001B5ABE"/>
    <w:rsid w:val="001C3312"/>
    <w:rsid w:val="001C4149"/>
    <w:rsid w:val="001C53B3"/>
    <w:rsid w:val="001C6FC9"/>
    <w:rsid w:val="001E0BA1"/>
    <w:rsid w:val="001E14D2"/>
    <w:rsid w:val="001E2ED9"/>
    <w:rsid w:val="001E5EEA"/>
    <w:rsid w:val="001E5F39"/>
    <w:rsid w:val="001E76A1"/>
    <w:rsid w:val="001F2BC8"/>
    <w:rsid w:val="001F555D"/>
    <w:rsid w:val="001F5F6B"/>
    <w:rsid w:val="0020034C"/>
    <w:rsid w:val="00204B2B"/>
    <w:rsid w:val="00204E17"/>
    <w:rsid w:val="002050CE"/>
    <w:rsid w:val="00206A73"/>
    <w:rsid w:val="00207208"/>
    <w:rsid w:val="00207D66"/>
    <w:rsid w:val="0021473B"/>
    <w:rsid w:val="0022721D"/>
    <w:rsid w:val="00230355"/>
    <w:rsid w:val="0023261F"/>
    <w:rsid w:val="00232D7C"/>
    <w:rsid w:val="002342DA"/>
    <w:rsid w:val="002360A4"/>
    <w:rsid w:val="002409DE"/>
    <w:rsid w:val="002422CA"/>
    <w:rsid w:val="00243EBC"/>
    <w:rsid w:val="00245861"/>
    <w:rsid w:val="00245CC6"/>
    <w:rsid w:val="00246A35"/>
    <w:rsid w:val="002523F6"/>
    <w:rsid w:val="002557FB"/>
    <w:rsid w:val="00255B7B"/>
    <w:rsid w:val="00257B92"/>
    <w:rsid w:val="00257D2F"/>
    <w:rsid w:val="00257DA6"/>
    <w:rsid w:val="00260FA0"/>
    <w:rsid w:val="00261821"/>
    <w:rsid w:val="00261E0D"/>
    <w:rsid w:val="00263026"/>
    <w:rsid w:val="0026357D"/>
    <w:rsid w:val="00265271"/>
    <w:rsid w:val="002716D9"/>
    <w:rsid w:val="0027323C"/>
    <w:rsid w:val="0027405A"/>
    <w:rsid w:val="002760E3"/>
    <w:rsid w:val="00277B2E"/>
    <w:rsid w:val="00277BFF"/>
    <w:rsid w:val="00277EC4"/>
    <w:rsid w:val="00280749"/>
    <w:rsid w:val="002826A1"/>
    <w:rsid w:val="00284348"/>
    <w:rsid w:val="0028575A"/>
    <w:rsid w:val="00294927"/>
    <w:rsid w:val="00295B64"/>
    <w:rsid w:val="002A01F5"/>
    <w:rsid w:val="002A0942"/>
    <w:rsid w:val="002A09DF"/>
    <w:rsid w:val="002A0AA1"/>
    <w:rsid w:val="002B029E"/>
    <w:rsid w:val="002B3888"/>
    <w:rsid w:val="002B491E"/>
    <w:rsid w:val="002B4CFE"/>
    <w:rsid w:val="002B659D"/>
    <w:rsid w:val="002C27EB"/>
    <w:rsid w:val="002C403A"/>
    <w:rsid w:val="002C4352"/>
    <w:rsid w:val="002C6052"/>
    <w:rsid w:val="002D03A8"/>
    <w:rsid w:val="002D223D"/>
    <w:rsid w:val="002D28C2"/>
    <w:rsid w:val="002D2CA2"/>
    <w:rsid w:val="002D52F8"/>
    <w:rsid w:val="002E23BC"/>
    <w:rsid w:val="002E45CA"/>
    <w:rsid w:val="002E516D"/>
    <w:rsid w:val="002E55FA"/>
    <w:rsid w:val="002E5747"/>
    <w:rsid w:val="002E5E8E"/>
    <w:rsid w:val="002E6741"/>
    <w:rsid w:val="002E707C"/>
    <w:rsid w:val="002E7AFB"/>
    <w:rsid w:val="002F0B9C"/>
    <w:rsid w:val="002F1B95"/>
    <w:rsid w:val="002F3B00"/>
    <w:rsid w:val="002F3E1B"/>
    <w:rsid w:val="002F4987"/>
    <w:rsid w:val="002F51F5"/>
    <w:rsid w:val="002F6970"/>
    <w:rsid w:val="002F71FB"/>
    <w:rsid w:val="002F7D50"/>
    <w:rsid w:val="00300C0C"/>
    <w:rsid w:val="00301563"/>
    <w:rsid w:val="00302B8F"/>
    <w:rsid w:val="00303431"/>
    <w:rsid w:val="0030461E"/>
    <w:rsid w:val="00304CA8"/>
    <w:rsid w:val="003112FB"/>
    <w:rsid w:val="00311CF2"/>
    <w:rsid w:val="00312137"/>
    <w:rsid w:val="00320497"/>
    <w:rsid w:val="00323B89"/>
    <w:rsid w:val="00323CEA"/>
    <w:rsid w:val="0032502C"/>
    <w:rsid w:val="00325676"/>
    <w:rsid w:val="003260B7"/>
    <w:rsid w:val="00327DE0"/>
    <w:rsid w:val="00327E59"/>
    <w:rsid w:val="00330359"/>
    <w:rsid w:val="003304D4"/>
    <w:rsid w:val="003323E8"/>
    <w:rsid w:val="003340C0"/>
    <w:rsid w:val="00335CE2"/>
    <w:rsid w:val="0033762F"/>
    <w:rsid w:val="00337A79"/>
    <w:rsid w:val="003433B2"/>
    <w:rsid w:val="00344CA7"/>
    <w:rsid w:val="003454D9"/>
    <w:rsid w:val="0034603E"/>
    <w:rsid w:val="00350D1C"/>
    <w:rsid w:val="0035494F"/>
    <w:rsid w:val="00356FB2"/>
    <w:rsid w:val="003620C1"/>
    <w:rsid w:val="00363381"/>
    <w:rsid w:val="00366C7E"/>
    <w:rsid w:val="00366F08"/>
    <w:rsid w:val="00370456"/>
    <w:rsid w:val="00370818"/>
    <w:rsid w:val="003714E3"/>
    <w:rsid w:val="003751DA"/>
    <w:rsid w:val="00375BE8"/>
    <w:rsid w:val="00376585"/>
    <w:rsid w:val="003778F7"/>
    <w:rsid w:val="00384EA3"/>
    <w:rsid w:val="00387406"/>
    <w:rsid w:val="003922E8"/>
    <w:rsid w:val="003929D6"/>
    <w:rsid w:val="00395022"/>
    <w:rsid w:val="003977CB"/>
    <w:rsid w:val="003A05FF"/>
    <w:rsid w:val="003A10BF"/>
    <w:rsid w:val="003A1A75"/>
    <w:rsid w:val="003A39A1"/>
    <w:rsid w:val="003A605E"/>
    <w:rsid w:val="003A663C"/>
    <w:rsid w:val="003A7C44"/>
    <w:rsid w:val="003B42B1"/>
    <w:rsid w:val="003B51D2"/>
    <w:rsid w:val="003B6191"/>
    <w:rsid w:val="003C0536"/>
    <w:rsid w:val="003C1C0A"/>
    <w:rsid w:val="003C2191"/>
    <w:rsid w:val="003C2560"/>
    <w:rsid w:val="003C3FF3"/>
    <w:rsid w:val="003C4120"/>
    <w:rsid w:val="003C794A"/>
    <w:rsid w:val="003D103A"/>
    <w:rsid w:val="003D1603"/>
    <w:rsid w:val="003D1E92"/>
    <w:rsid w:val="003D3863"/>
    <w:rsid w:val="003D5D24"/>
    <w:rsid w:val="003D62FC"/>
    <w:rsid w:val="003D73FF"/>
    <w:rsid w:val="003E00CC"/>
    <w:rsid w:val="003E3C3B"/>
    <w:rsid w:val="003F0395"/>
    <w:rsid w:val="003F0F52"/>
    <w:rsid w:val="003F2A51"/>
    <w:rsid w:val="003F3746"/>
    <w:rsid w:val="003F5AA6"/>
    <w:rsid w:val="003F72E2"/>
    <w:rsid w:val="004011B5"/>
    <w:rsid w:val="00401249"/>
    <w:rsid w:val="00402DE7"/>
    <w:rsid w:val="0040531C"/>
    <w:rsid w:val="004053F2"/>
    <w:rsid w:val="004110DE"/>
    <w:rsid w:val="004121FE"/>
    <w:rsid w:val="00412276"/>
    <w:rsid w:val="00412B51"/>
    <w:rsid w:val="0041487A"/>
    <w:rsid w:val="00415E58"/>
    <w:rsid w:val="00416DEC"/>
    <w:rsid w:val="00420173"/>
    <w:rsid w:val="004227BD"/>
    <w:rsid w:val="00423310"/>
    <w:rsid w:val="00423FEE"/>
    <w:rsid w:val="00425985"/>
    <w:rsid w:val="004262A2"/>
    <w:rsid w:val="00427405"/>
    <w:rsid w:val="004369D1"/>
    <w:rsid w:val="0044085A"/>
    <w:rsid w:val="0044194C"/>
    <w:rsid w:val="0044284A"/>
    <w:rsid w:val="00442D2F"/>
    <w:rsid w:val="00443B70"/>
    <w:rsid w:val="00445C24"/>
    <w:rsid w:val="00450FE5"/>
    <w:rsid w:val="004519EC"/>
    <w:rsid w:val="00452FBA"/>
    <w:rsid w:val="00457308"/>
    <w:rsid w:val="00462475"/>
    <w:rsid w:val="004628B1"/>
    <w:rsid w:val="0046337B"/>
    <w:rsid w:val="00465AF9"/>
    <w:rsid w:val="00475600"/>
    <w:rsid w:val="0047739A"/>
    <w:rsid w:val="00477858"/>
    <w:rsid w:val="00482C2F"/>
    <w:rsid w:val="0048798C"/>
    <w:rsid w:val="00494EC7"/>
    <w:rsid w:val="004959C3"/>
    <w:rsid w:val="00497040"/>
    <w:rsid w:val="0049747B"/>
    <w:rsid w:val="004A2F2D"/>
    <w:rsid w:val="004A33A0"/>
    <w:rsid w:val="004A36D7"/>
    <w:rsid w:val="004A41DE"/>
    <w:rsid w:val="004A731C"/>
    <w:rsid w:val="004A756F"/>
    <w:rsid w:val="004B0E76"/>
    <w:rsid w:val="004B21A5"/>
    <w:rsid w:val="004B4282"/>
    <w:rsid w:val="004B477F"/>
    <w:rsid w:val="004B6073"/>
    <w:rsid w:val="004B6A1E"/>
    <w:rsid w:val="004B6CA7"/>
    <w:rsid w:val="004C0810"/>
    <w:rsid w:val="004C0CFF"/>
    <w:rsid w:val="004C1B6C"/>
    <w:rsid w:val="004C232F"/>
    <w:rsid w:val="004C4753"/>
    <w:rsid w:val="004C6069"/>
    <w:rsid w:val="004C6E6F"/>
    <w:rsid w:val="004D03D6"/>
    <w:rsid w:val="004D34CC"/>
    <w:rsid w:val="004D4785"/>
    <w:rsid w:val="004D56C5"/>
    <w:rsid w:val="004D74EA"/>
    <w:rsid w:val="004D7CF6"/>
    <w:rsid w:val="004E1ACD"/>
    <w:rsid w:val="004E3FD4"/>
    <w:rsid w:val="004E6614"/>
    <w:rsid w:val="004F37FB"/>
    <w:rsid w:val="004F69C4"/>
    <w:rsid w:val="004F6AF6"/>
    <w:rsid w:val="004F7C63"/>
    <w:rsid w:val="00500355"/>
    <w:rsid w:val="005006D9"/>
    <w:rsid w:val="00502215"/>
    <w:rsid w:val="005037F0"/>
    <w:rsid w:val="005053D9"/>
    <w:rsid w:val="00505612"/>
    <w:rsid w:val="00507B6C"/>
    <w:rsid w:val="00510111"/>
    <w:rsid w:val="00511FCF"/>
    <w:rsid w:val="0051335C"/>
    <w:rsid w:val="00513724"/>
    <w:rsid w:val="00516A86"/>
    <w:rsid w:val="00516C54"/>
    <w:rsid w:val="00521E70"/>
    <w:rsid w:val="00524ECF"/>
    <w:rsid w:val="005275F6"/>
    <w:rsid w:val="00533681"/>
    <w:rsid w:val="00536E6A"/>
    <w:rsid w:val="005408DA"/>
    <w:rsid w:val="00542589"/>
    <w:rsid w:val="00542CEC"/>
    <w:rsid w:val="00544185"/>
    <w:rsid w:val="005442A4"/>
    <w:rsid w:val="00546BCD"/>
    <w:rsid w:val="00547368"/>
    <w:rsid w:val="005535E0"/>
    <w:rsid w:val="00557740"/>
    <w:rsid w:val="005579A7"/>
    <w:rsid w:val="00560BE2"/>
    <w:rsid w:val="00561D77"/>
    <w:rsid w:val="0056384B"/>
    <w:rsid w:val="005652F4"/>
    <w:rsid w:val="00566CF6"/>
    <w:rsid w:val="00570769"/>
    <w:rsid w:val="00571944"/>
    <w:rsid w:val="00572102"/>
    <w:rsid w:val="00572B27"/>
    <w:rsid w:val="005753AB"/>
    <w:rsid w:val="0057742D"/>
    <w:rsid w:val="00580602"/>
    <w:rsid w:val="005834A2"/>
    <w:rsid w:val="00591807"/>
    <w:rsid w:val="00592747"/>
    <w:rsid w:val="0059797F"/>
    <w:rsid w:val="005A01D8"/>
    <w:rsid w:val="005A08FD"/>
    <w:rsid w:val="005A135E"/>
    <w:rsid w:val="005A4D8D"/>
    <w:rsid w:val="005A5329"/>
    <w:rsid w:val="005B040E"/>
    <w:rsid w:val="005B5A50"/>
    <w:rsid w:val="005C050E"/>
    <w:rsid w:val="005C197F"/>
    <w:rsid w:val="005C2662"/>
    <w:rsid w:val="005C41BA"/>
    <w:rsid w:val="005C4FA8"/>
    <w:rsid w:val="005C6329"/>
    <w:rsid w:val="005D55B2"/>
    <w:rsid w:val="005D5B70"/>
    <w:rsid w:val="005D6C3D"/>
    <w:rsid w:val="005D74BE"/>
    <w:rsid w:val="005E2F45"/>
    <w:rsid w:val="005E334D"/>
    <w:rsid w:val="005E76D3"/>
    <w:rsid w:val="005F1436"/>
    <w:rsid w:val="005F1BB0"/>
    <w:rsid w:val="005F1DF9"/>
    <w:rsid w:val="005F3418"/>
    <w:rsid w:val="005F3AA5"/>
    <w:rsid w:val="005F481A"/>
    <w:rsid w:val="005F4AED"/>
    <w:rsid w:val="005F5327"/>
    <w:rsid w:val="005F5D59"/>
    <w:rsid w:val="005F68C1"/>
    <w:rsid w:val="006009D4"/>
    <w:rsid w:val="0060153F"/>
    <w:rsid w:val="006024D4"/>
    <w:rsid w:val="0060282F"/>
    <w:rsid w:val="0060441F"/>
    <w:rsid w:val="00604E01"/>
    <w:rsid w:val="006057F4"/>
    <w:rsid w:val="00613366"/>
    <w:rsid w:val="00617739"/>
    <w:rsid w:val="006230C9"/>
    <w:rsid w:val="00623870"/>
    <w:rsid w:val="0062567A"/>
    <w:rsid w:val="00633E89"/>
    <w:rsid w:val="00633EDC"/>
    <w:rsid w:val="006346CC"/>
    <w:rsid w:val="00634869"/>
    <w:rsid w:val="00635C68"/>
    <w:rsid w:val="00636E15"/>
    <w:rsid w:val="00644C13"/>
    <w:rsid w:val="00644C3E"/>
    <w:rsid w:val="00645247"/>
    <w:rsid w:val="00650BEE"/>
    <w:rsid w:val="00651D77"/>
    <w:rsid w:val="00655F6B"/>
    <w:rsid w:val="00656C4D"/>
    <w:rsid w:val="00662697"/>
    <w:rsid w:val="006627C4"/>
    <w:rsid w:val="00665AF6"/>
    <w:rsid w:val="00666BBB"/>
    <w:rsid w:val="006701A0"/>
    <w:rsid w:val="0067029E"/>
    <w:rsid w:val="0067118B"/>
    <w:rsid w:val="00673DB9"/>
    <w:rsid w:val="006750B5"/>
    <w:rsid w:val="00676016"/>
    <w:rsid w:val="0067668D"/>
    <w:rsid w:val="00680D55"/>
    <w:rsid w:val="006818FE"/>
    <w:rsid w:val="00685843"/>
    <w:rsid w:val="00690282"/>
    <w:rsid w:val="006904A7"/>
    <w:rsid w:val="00692C01"/>
    <w:rsid w:val="00692C69"/>
    <w:rsid w:val="006965C1"/>
    <w:rsid w:val="00696BF2"/>
    <w:rsid w:val="006A0E80"/>
    <w:rsid w:val="006B15B0"/>
    <w:rsid w:val="006B1CA2"/>
    <w:rsid w:val="006B2121"/>
    <w:rsid w:val="006B2BEA"/>
    <w:rsid w:val="006B3C78"/>
    <w:rsid w:val="006B3EF7"/>
    <w:rsid w:val="006B5272"/>
    <w:rsid w:val="006B759A"/>
    <w:rsid w:val="006C125F"/>
    <w:rsid w:val="006C54FA"/>
    <w:rsid w:val="006D18C4"/>
    <w:rsid w:val="006D231F"/>
    <w:rsid w:val="006D40E7"/>
    <w:rsid w:val="006E1387"/>
    <w:rsid w:val="006E2B44"/>
    <w:rsid w:val="006E3164"/>
    <w:rsid w:val="006E5716"/>
    <w:rsid w:val="006E7E2F"/>
    <w:rsid w:val="006E7E5D"/>
    <w:rsid w:val="006F06B4"/>
    <w:rsid w:val="00702053"/>
    <w:rsid w:val="00703C36"/>
    <w:rsid w:val="0070432A"/>
    <w:rsid w:val="00705764"/>
    <w:rsid w:val="00706723"/>
    <w:rsid w:val="00707124"/>
    <w:rsid w:val="007079DB"/>
    <w:rsid w:val="007162A1"/>
    <w:rsid w:val="00716AFA"/>
    <w:rsid w:val="0072011F"/>
    <w:rsid w:val="0072066A"/>
    <w:rsid w:val="0072180E"/>
    <w:rsid w:val="0072324C"/>
    <w:rsid w:val="00724679"/>
    <w:rsid w:val="00725AB1"/>
    <w:rsid w:val="00726B87"/>
    <w:rsid w:val="007302B3"/>
    <w:rsid w:val="00730733"/>
    <w:rsid w:val="00730A50"/>
    <w:rsid w:val="00730E3A"/>
    <w:rsid w:val="0073175B"/>
    <w:rsid w:val="00731C18"/>
    <w:rsid w:val="00731E4B"/>
    <w:rsid w:val="00736AAF"/>
    <w:rsid w:val="00737C24"/>
    <w:rsid w:val="00740855"/>
    <w:rsid w:val="007410C8"/>
    <w:rsid w:val="00741820"/>
    <w:rsid w:val="00741ECF"/>
    <w:rsid w:val="007447DD"/>
    <w:rsid w:val="00744BB5"/>
    <w:rsid w:val="007471C9"/>
    <w:rsid w:val="00753206"/>
    <w:rsid w:val="00754E38"/>
    <w:rsid w:val="007614EB"/>
    <w:rsid w:val="0076311C"/>
    <w:rsid w:val="00765B2A"/>
    <w:rsid w:val="00767E4C"/>
    <w:rsid w:val="00770459"/>
    <w:rsid w:val="007755E5"/>
    <w:rsid w:val="00775AAE"/>
    <w:rsid w:val="00775B9F"/>
    <w:rsid w:val="00776DC3"/>
    <w:rsid w:val="00777DB2"/>
    <w:rsid w:val="0078187C"/>
    <w:rsid w:val="00783A34"/>
    <w:rsid w:val="00783B08"/>
    <w:rsid w:val="00785ADD"/>
    <w:rsid w:val="00790B0A"/>
    <w:rsid w:val="00795103"/>
    <w:rsid w:val="00795F5E"/>
    <w:rsid w:val="007A2D96"/>
    <w:rsid w:val="007A37E8"/>
    <w:rsid w:val="007A3B32"/>
    <w:rsid w:val="007A64F1"/>
    <w:rsid w:val="007A7C01"/>
    <w:rsid w:val="007B0B5E"/>
    <w:rsid w:val="007B473F"/>
    <w:rsid w:val="007C1C5D"/>
    <w:rsid w:val="007C3265"/>
    <w:rsid w:val="007C6B52"/>
    <w:rsid w:val="007D16C5"/>
    <w:rsid w:val="007D5600"/>
    <w:rsid w:val="007D6163"/>
    <w:rsid w:val="007D7117"/>
    <w:rsid w:val="007E38C2"/>
    <w:rsid w:val="007E5923"/>
    <w:rsid w:val="007F0AA3"/>
    <w:rsid w:val="007F22D8"/>
    <w:rsid w:val="007F3540"/>
    <w:rsid w:val="007F60F1"/>
    <w:rsid w:val="007F649F"/>
    <w:rsid w:val="007F745B"/>
    <w:rsid w:val="00800FBD"/>
    <w:rsid w:val="0080379C"/>
    <w:rsid w:val="00805B0F"/>
    <w:rsid w:val="008061D5"/>
    <w:rsid w:val="00807129"/>
    <w:rsid w:val="008121B8"/>
    <w:rsid w:val="00812B5B"/>
    <w:rsid w:val="00813529"/>
    <w:rsid w:val="00814B13"/>
    <w:rsid w:val="00817EDE"/>
    <w:rsid w:val="00822D4C"/>
    <w:rsid w:val="00823F9B"/>
    <w:rsid w:val="0083507C"/>
    <w:rsid w:val="00844B52"/>
    <w:rsid w:val="008464B2"/>
    <w:rsid w:val="00851030"/>
    <w:rsid w:val="0085150D"/>
    <w:rsid w:val="00856A64"/>
    <w:rsid w:val="00857CB1"/>
    <w:rsid w:val="00861571"/>
    <w:rsid w:val="00862FE4"/>
    <w:rsid w:val="0086389A"/>
    <w:rsid w:val="00866EDB"/>
    <w:rsid w:val="0087100F"/>
    <w:rsid w:val="00871F2C"/>
    <w:rsid w:val="00872E6E"/>
    <w:rsid w:val="0087605E"/>
    <w:rsid w:val="0087772C"/>
    <w:rsid w:val="00881035"/>
    <w:rsid w:val="0088159B"/>
    <w:rsid w:val="00883464"/>
    <w:rsid w:val="008841A9"/>
    <w:rsid w:val="00885F86"/>
    <w:rsid w:val="008916C5"/>
    <w:rsid w:val="0089309D"/>
    <w:rsid w:val="008951FF"/>
    <w:rsid w:val="008955A9"/>
    <w:rsid w:val="00896A87"/>
    <w:rsid w:val="008A426D"/>
    <w:rsid w:val="008A44B9"/>
    <w:rsid w:val="008A76FC"/>
    <w:rsid w:val="008B1FEE"/>
    <w:rsid w:val="008B509F"/>
    <w:rsid w:val="008B7609"/>
    <w:rsid w:val="008C7313"/>
    <w:rsid w:val="008C7A08"/>
    <w:rsid w:val="008D0CC1"/>
    <w:rsid w:val="008D4E1F"/>
    <w:rsid w:val="008D6388"/>
    <w:rsid w:val="008D643D"/>
    <w:rsid w:val="008D676C"/>
    <w:rsid w:val="008D69ED"/>
    <w:rsid w:val="008D769C"/>
    <w:rsid w:val="008E0CFA"/>
    <w:rsid w:val="008E4F58"/>
    <w:rsid w:val="008E5216"/>
    <w:rsid w:val="008E5E9F"/>
    <w:rsid w:val="00902EDF"/>
    <w:rsid w:val="00903C32"/>
    <w:rsid w:val="00905754"/>
    <w:rsid w:val="00906DC6"/>
    <w:rsid w:val="0091186B"/>
    <w:rsid w:val="00913736"/>
    <w:rsid w:val="00916685"/>
    <w:rsid w:val="00916B16"/>
    <w:rsid w:val="009173B9"/>
    <w:rsid w:val="009269BC"/>
    <w:rsid w:val="00930C87"/>
    <w:rsid w:val="0093335D"/>
    <w:rsid w:val="0093613E"/>
    <w:rsid w:val="00941746"/>
    <w:rsid w:val="00941DA3"/>
    <w:rsid w:val="00942890"/>
    <w:rsid w:val="00943026"/>
    <w:rsid w:val="00944F91"/>
    <w:rsid w:val="00947072"/>
    <w:rsid w:val="00953BBB"/>
    <w:rsid w:val="00953F22"/>
    <w:rsid w:val="00961444"/>
    <w:rsid w:val="009614C2"/>
    <w:rsid w:val="00964874"/>
    <w:rsid w:val="00964C75"/>
    <w:rsid w:val="00966B81"/>
    <w:rsid w:val="009732C9"/>
    <w:rsid w:val="00974212"/>
    <w:rsid w:val="00974638"/>
    <w:rsid w:val="00980B0E"/>
    <w:rsid w:val="0098162A"/>
    <w:rsid w:val="009826A9"/>
    <w:rsid w:val="0098551B"/>
    <w:rsid w:val="00987130"/>
    <w:rsid w:val="009912D2"/>
    <w:rsid w:val="00993C86"/>
    <w:rsid w:val="00996F32"/>
    <w:rsid w:val="009A24C3"/>
    <w:rsid w:val="009A439D"/>
    <w:rsid w:val="009B24D1"/>
    <w:rsid w:val="009B2532"/>
    <w:rsid w:val="009B66FF"/>
    <w:rsid w:val="009B68E5"/>
    <w:rsid w:val="009C7720"/>
    <w:rsid w:val="009D080F"/>
    <w:rsid w:val="009D2CDA"/>
    <w:rsid w:val="009D5C75"/>
    <w:rsid w:val="009E08C0"/>
    <w:rsid w:val="009E1CFC"/>
    <w:rsid w:val="009E2215"/>
    <w:rsid w:val="009E28BC"/>
    <w:rsid w:val="009E2E65"/>
    <w:rsid w:val="009E4903"/>
    <w:rsid w:val="009E52B8"/>
    <w:rsid w:val="009E5E14"/>
    <w:rsid w:val="009E7790"/>
    <w:rsid w:val="009F1D60"/>
    <w:rsid w:val="009F67E3"/>
    <w:rsid w:val="009F6D6A"/>
    <w:rsid w:val="00A0308A"/>
    <w:rsid w:val="00A04C05"/>
    <w:rsid w:val="00A05B9D"/>
    <w:rsid w:val="00A10724"/>
    <w:rsid w:val="00A11BC9"/>
    <w:rsid w:val="00A13A50"/>
    <w:rsid w:val="00A149C9"/>
    <w:rsid w:val="00A16C4F"/>
    <w:rsid w:val="00A205D4"/>
    <w:rsid w:val="00A22FD5"/>
    <w:rsid w:val="00A23AFA"/>
    <w:rsid w:val="00A23B5D"/>
    <w:rsid w:val="00A25AA3"/>
    <w:rsid w:val="00A263DA"/>
    <w:rsid w:val="00A2672E"/>
    <w:rsid w:val="00A27028"/>
    <w:rsid w:val="00A277D4"/>
    <w:rsid w:val="00A31315"/>
    <w:rsid w:val="00A31B3E"/>
    <w:rsid w:val="00A32096"/>
    <w:rsid w:val="00A341B4"/>
    <w:rsid w:val="00A361D8"/>
    <w:rsid w:val="00A366BA"/>
    <w:rsid w:val="00A37766"/>
    <w:rsid w:val="00A46F19"/>
    <w:rsid w:val="00A473B7"/>
    <w:rsid w:val="00A528B6"/>
    <w:rsid w:val="00A532F3"/>
    <w:rsid w:val="00A5431D"/>
    <w:rsid w:val="00A54A66"/>
    <w:rsid w:val="00A555AC"/>
    <w:rsid w:val="00A55D13"/>
    <w:rsid w:val="00A569D7"/>
    <w:rsid w:val="00A56A7F"/>
    <w:rsid w:val="00A634A1"/>
    <w:rsid w:val="00A71278"/>
    <w:rsid w:val="00A717FA"/>
    <w:rsid w:val="00A730C9"/>
    <w:rsid w:val="00A7548C"/>
    <w:rsid w:val="00A759BC"/>
    <w:rsid w:val="00A760BD"/>
    <w:rsid w:val="00A8334A"/>
    <w:rsid w:val="00A840AD"/>
    <w:rsid w:val="00A8489E"/>
    <w:rsid w:val="00A858F3"/>
    <w:rsid w:val="00AA2680"/>
    <w:rsid w:val="00AA31C5"/>
    <w:rsid w:val="00AA3E66"/>
    <w:rsid w:val="00AA43E1"/>
    <w:rsid w:val="00AA4449"/>
    <w:rsid w:val="00AB5BDD"/>
    <w:rsid w:val="00AC01D7"/>
    <w:rsid w:val="00AC07A3"/>
    <w:rsid w:val="00AC180F"/>
    <w:rsid w:val="00AC29AD"/>
    <w:rsid w:val="00AC29F3"/>
    <w:rsid w:val="00AC79A4"/>
    <w:rsid w:val="00AD01EA"/>
    <w:rsid w:val="00AD511F"/>
    <w:rsid w:val="00AE058B"/>
    <w:rsid w:val="00AE369D"/>
    <w:rsid w:val="00AE3937"/>
    <w:rsid w:val="00AE6C27"/>
    <w:rsid w:val="00AE736B"/>
    <w:rsid w:val="00AE7687"/>
    <w:rsid w:val="00AF665F"/>
    <w:rsid w:val="00B026AB"/>
    <w:rsid w:val="00B04C0F"/>
    <w:rsid w:val="00B0643B"/>
    <w:rsid w:val="00B078AA"/>
    <w:rsid w:val="00B13D0B"/>
    <w:rsid w:val="00B22D41"/>
    <w:rsid w:val="00B231E5"/>
    <w:rsid w:val="00B242BC"/>
    <w:rsid w:val="00B24597"/>
    <w:rsid w:val="00B30BE7"/>
    <w:rsid w:val="00B32A15"/>
    <w:rsid w:val="00B333C3"/>
    <w:rsid w:val="00B351AE"/>
    <w:rsid w:val="00B3772C"/>
    <w:rsid w:val="00B40610"/>
    <w:rsid w:val="00B428AC"/>
    <w:rsid w:val="00B438CD"/>
    <w:rsid w:val="00B47DF4"/>
    <w:rsid w:val="00B50377"/>
    <w:rsid w:val="00B50AD8"/>
    <w:rsid w:val="00B56661"/>
    <w:rsid w:val="00B61D2C"/>
    <w:rsid w:val="00B6289D"/>
    <w:rsid w:val="00B62A7D"/>
    <w:rsid w:val="00B62D45"/>
    <w:rsid w:val="00B62E04"/>
    <w:rsid w:val="00B63AAA"/>
    <w:rsid w:val="00B63F22"/>
    <w:rsid w:val="00B64702"/>
    <w:rsid w:val="00B653D8"/>
    <w:rsid w:val="00B6670B"/>
    <w:rsid w:val="00B6753E"/>
    <w:rsid w:val="00B74F8C"/>
    <w:rsid w:val="00B80C6B"/>
    <w:rsid w:val="00B8266C"/>
    <w:rsid w:val="00B837B3"/>
    <w:rsid w:val="00B90E4D"/>
    <w:rsid w:val="00B911FE"/>
    <w:rsid w:val="00B97783"/>
    <w:rsid w:val="00BA1D93"/>
    <w:rsid w:val="00BA38D4"/>
    <w:rsid w:val="00BA3A31"/>
    <w:rsid w:val="00BA4B48"/>
    <w:rsid w:val="00BA7595"/>
    <w:rsid w:val="00BB18B4"/>
    <w:rsid w:val="00BB72A5"/>
    <w:rsid w:val="00BC2495"/>
    <w:rsid w:val="00BC5374"/>
    <w:rsid w:val="00BC5990"/>
    <w:rsid w:val="00BD05C2"/>
    <w:rsid w:val="00BD0E23"/>
    <w:rsid w:val="00BD1214"/>
    <w:rsid w:val="00BD55FF"/>
    <w:rsid w:val="00BD758A"/>
    <w:rsid w:val="00BE35E6"/>
    <w:rsid w:val="00BE3C64"/>
    <w:rsid w:val="00BF0B52"/>
    <w:rsid w:val="00BF1287"/>
    <w:rsid w:val="00BF2EAD"/>
    <w:rsid w:val="00BF4321"/>
    <w:rsid w:val="00BF5A16"/>
    <w:rsid w:val="00C01E73"/>
    <w:rsid w:val="00C02B87"/>
    <w:rsid w:val="00C03958"/>
    <w:rsid w:val="00C06ABF"/>
    <w:rsid w:val="00C11270"/>
    <w:rsid w:val="00C1165A"/>
    <w:rsid w:val="00C1423E"/>
    <w:rsid w:val="00C149D0"/>
    <w:rsid w:val="00C1629A"/>
    <w:rsid w:val="00C17FF1"/>
    <w:rsid w:val="00C22758"/>
    <w:rsid w:val="00C2343E"/>
    <w:rsid w:val="00C25D1F"/>
    <w:rsid w:val="00C30C86"/>
    <w:rsid w:val="00C330B7"/>
    <w:rsid w:val="00C3714E"/>
    <w:rsid w:val="00C4086D"/>
    <w:rsid w:val="00C44D53"/>
    <w:rsid w:val="00C46215"/>
    <w:rsid w:val="00C4793F"/>
    <w:rsid w:val="00C47E0A"/>
    <w:rsid w:val="00C50DBB"/>
    <w:rsid w:val="00C558FF"/>
    <w:rsid w:val="00C6199D"/>
    <w:rsid w:val="00C629B2"/>
    <w:rsid w:val="00C648FE"/>
    <w:rsid w:val="00C66638"/>
    <w:rsid w:val="00C66DFC"/>
    <w:rsid w:val="00C72AC4"/>
    <w:rsid w:val="00C73309"/>
    <w:rsid w:val="00C73674"/>
    <w:rsid w:val="00C737B3"/>
    <w:rsid w:val="00C747DD"/>
    <w:rsid w:val="00C81D1C"/>
    <w:rsid w:val="00C851DF"/>
    <w:rsid w:val="00C93E7B"/>
    <w:rsid w:val="00C959B5"/>
    <w:rsid w:val="00C96786"/>
    <w:rsid w:val="00C97A73"/>
    <w:rsid w:val="00CA1896"/>
    <w:rsid w:val="00CA2419"/>
    <w:rsid w:val="00CA40D4"/>
    <w:rsid w:val="00CA44C4"/>
    <w:rsid w:val="00CA4829"/>
    <w:rsid w:val="00CA69A2"/>
    <w:rsid w:val="00CB0150"/>
    <w:rsid w:val="00CB0D75"/>
    <w:rsid w:val="00CB27EE"/>
    <w:rsid w:val="00CB2B7F"/>
    <w:rsid w:val="00CB5B28"/>
    <w:rsid w:val="00CB6A4B"/>
    <w:rsid w:val="00CB7B98"/>
    <w:rsid w:val="00CC10FA"/>
    <w:rsid w:val="00CC2543"/>
    <w:rsid w:val="00CC4A85"/>
    <w:rsid w:val="00CC72A5"/>
    <w:rsid w:val="00CD4EF3"/>
    <w:rsid w:val="00CD56B8"/>
    <w:rsid w:val="00CE198C"/>
    <w:rsid w:val="00CE38CA"/>
    <w:rsid w:val="00CE68B3"/>
    <w:rsid w:val="00CF085B"/>
    <w:rsid w:val="00CF420E"/>
    <w:rsid w:val="00CF4288"/>
    <w:rsid w:val="00CF5371"/>
    <w:rsid w:val="00D01739"/>
    <w:rsid w:val="00D01FDC"/>
    <w:rsid w:val="00D025BF"/>
    <w:rsid w:val="00D0323A"/>
    <w:rsid w:val="00D04045"/>
    <w:rsid w:val="00D052AD"/>
    <w:rsid w:val="00D0559F"/>
    <w:rsid w:val="00D0693D"/>
    <w:rsid w:val="00D077E9"/>
    <w:rsid w:val="00D13E65"/>
    <w:rsid w:val="00D15934"/>
    <w:rsid w:val="00D2184D"/>
    <w:rsid w:val="00D2229B"/>
    <w:rsid w:val="00D225B6"/>
    <w:rsid w:val="00D23796"/>
    <w:rsid w:val="00D24D54"/>
    <w:rsid w:val="00D25B81"/>
    <w:rsid w:val="00D26BEE"/>
    <w:rsid w:val="00D26E2A"/>
    <w:rsid w:val="00D30F1B"/>
    <w:rsid w:val="00D314D7"/>
    <w:rsid w:val="00D328DE"/>
    <w:rsid w:val="00D4167D"/>
    <w:rsid w:val="00D429B1"/>
    <w:rsid w:val="00D42CB7"/>
    <w:rsid w:val="00D5413D"/>
    <w:rsid w:val="00D54BBB"/>
    <w:rsid w:val="00D55143"/>
    <w:rsid w:val="00D570A9"/>
    <w:rsid w:val="00D57CCE"/>
    <w:rsid w:val="00D638D0"/>
    <w:rsid w:val="00D63A6F"/>
    <w:rsid w:val="00D658CD"/>
    <w:rsid w:val="00D6684A"/>
    <w:rsid w:val="00D70D02"/>
    <w:rsid w:val="00D711BA"/>
    <w:rsid w:val="00D741FA"/>
    <w:rsid w:val="00D770C7"/>
    <w:rsid w:val="00D806D8"/>
    <w:rsid w:val="00D81C04"/>
    <w:rsid w:val="00D86945"/>
    <w:rsid w:val="00D90290"/>
    <w:rsid w:val="00D917A2"/>
    <w:rsid w:val="00D93D54"/>
    <w:rsid w:val="00D956EB"/>
    <w:rsid w:val="00D95FA1"/>
    <w:rsid w:val="00D96C64"/>
    <w:rsid w:val="00DA3915"/>
    <w:rsid w:val="00DB18F9"/>
    <w:rsid w:val="00DB2D3B"/>
    <w:rsid w:val="00DB61BA"/>
    <w:rsid w:val="00DC5DEE"/>
    <w:rsid w:val="00DC7EF3"/>
    <w:rsid w:val="00DD152F"/>
    <w:rsid w:val="00DD4F38"/>
    <w:rsid w:val="00DD7050"/>
    <w:rsid w:val="00DD70BB"/>
    <w:rsid w:val="00DE213F"/>
    <w:rsid w:val="00DE325F"/>
    <w:rsid w:val="00DE363F"/>
    <w:rsid w:val="00DE3CBE"/>
    <w:rsid w:val="00DE3DDE"/>
    <w:rsid w:val="00DE446C"/>
    <w:rsid w:val="00DE5569"/>
    <w:rsid w:val="00DE72F0"/>
    <w:rsid w:val="00DF027C"/>
    <w:rsid w:val="00DF1173"/>
    <w:rsid w:val="00DF244C"/>
    <w:rsid w:val="00DF3712"/>
    <w:rsid w:val="00DF52C7"/>
    <w:rsid w:val="00DF5550"/>
    <w:rsid w:val="00DF570B"/>
    <w:rsid w:val="00E00A32"/>
    <w:rsid w:val="00E010FD"/>
    <w:rsid w:val="00E0196E"/>
    <w:rsid w:val="00E032FB"/>
    <w:rsid w:val="00E03F3F"/>
    <w:rsid w:val="00E04216"/>
    <w:rsid w:val="00E0565C"/>
    <w:rsid w:val="00E057CF"/>
    <w:rsid w:val="00E078B3"/>
    <w:rsid w:val="00E16091"/>
    <w:rsid w:val="00E20FEA"/>
    <w:rsid w:val="00E22ACD"/>
    <w:rsid w:val="00E30CE7"/>
    <w:rsid w:val="00E32967"/>
    <w:rsid w:val="00E3298F"/>
    <w:rsid w:val="00E35482"/>
    <w:rsid w:val="00E36A9E"/>
    <w:rsid w:val="00E450AF"/>
    <w:rsid w:val="00E47715"/>
    <w:rsid w:val="00E529F6"/>
    <w:rsid w:val="00E53216"/>
    <w:rsid w:val="00E54946"/>
    <w:rsid w:val="00E54BA3"/>
    <w:rsid w:val="00E5746E"/>
    <w:rsid w:val="00E6064C"/>
    <w:rsid w:val="00E620B0"/>
    <w:rsid w:val="00E624A8"/>
    <w:rsid w:val="00E62E39"/>
    <w:rsid w:val="00E643CC"/>
    <w:rsid w:val="00E65315"/>
    <w:rsid w:val="00E80847"/>
    <w:rsid w:val="00E81B40"/>
    <w:rsid w:val="00E823B3"/>
    <w:rsid w:val="00E82CD4"/>
    <w:rsid w:val="00E844B2"/>
    <w:rsid w:val="00E87963"/>
    <w:rsid w:val="00E87E1D"/>
    <w:rsid w:val="00E9084F"/>
    <w:rsid w:val="00E924E5"/>
    <w:rsid w:val="00E9347D"/>
    <w:rsid w:val="00E938B6"/>
    <w:rsid w:val="00E93A19"/>
    <w:rsid w:val="00E94BB7"/>
    <w:rsid w:val="00E958B5"/>
    <w:rsid w:val="00E95B55"/>
    <w:rsid w:val="00E962C7"/>
    <w:rsid w:val="00E9659B"/>
    <w:rsid w:val="00EA2B47"/>
    <w:rsid w:val="00EA4565"/>
    <w:rsid w:val="00EA4755"/>
    <w:rsid w:val="00EA47F5"/>
    <w:rsid w:val="00EB08FA"/>
    <w:rsid w:val="00EB0D66"/>
    <w:rsid w:val="00EB14F3"/>
    <w:rsid w:val="00EB1517"/>
    <w:rsid w:val="00EB49A0"/>
    <w:rsid w:val="00EB4FB8"/>
    <w:rsid w:val="00EB703C"/>
    <w:rsid w:val="00EC016D"/>
    <w:rsid w:val="00EC40A3"/>
    <w:rsid w:val="00EC71B4"/>
    <w:rsid w:val="00ED604B"/>
    <w:rsid w:val="00ED749D"/>
    <w:rsid w:val="00EE0259"/>
    <w:rsid w:val="00EE10CB"/>
    <w:rsid w:val="00EE70C5"/>
    <w:rsid w:val="00EE7307"/>
    <w:rsid w:val="00EE77DE"/>
    <w:rsid w:val="00EF03AF"/>
    <w:rsid w:val="00EF2492"/>
    <w:rsid w:val="00EF3682"/>
    <w:rsid w:val="00EF555B"/>
    <w:rsid w:val="00EF58DB"/>
    <w:rsid w:val="00F01601"/>
    <w:rsid w:val="00F027BB"/>
    <w:rsid w:val="00F03A44"/>
    <w:rsid w:val="00F05C2B"/>
    <w:rsid w:val="00F060EF"/>
    <w:rsid w:val="00F066E9"/>
    <w:rsid w:val="00F06FF2"/>
    <w:rsid w:val="00F10727"/>
    <w:rsid w:val="00F112E5"/>
    <w:rsid w:val="00F112FE"/>
    <w:rsid w:val="00F11A51"/>
    <w:rsid w:val="00F11DCF"/>
    <w:rsid w:val="00F13C3F"/>
    <w:rsid w:val="00F144C7"/>
    <w:rsid w:val="00F162EA"/>
    <w:rsid w:val="00F20914"/>
    <w:rsid w:val="00F22A95"/>
    <w:rsid w:val="00F2475C"/>
    <w:rsid w:val="00F25216"/>
    <w:rsid w:val="00F25458"/>
    <w:rsid w:val="00F277AE"/>
    <w:rsid w:val="00F27856"/>
    <w:rsid w:val="00F27A90"/>
    <w:rsid w:val="00F30F8B"/>
    <w:rsid w:val="00F351E2"/>
    <w:rsid w:val="00F369E5"/>
    <w:rsid w:val="00F40BBF"/>
    <w:rsid w:val="00F40C69"/>
    <w:rsid w:val="00F44218"/>
    <w:rsid w:val="00F5229D"/>
    <w:rsid w:val="00F52D27"/>
    <w:rsid w:val="00F540EA"/>
    <w:rsid w:val="00F618D1"/>
    <w:rsid w:val="00F62A5F"/>
    <w:rsid w:val="00F64605"/>
    <w:rsid w:val="00F6516E"/>
    <w:rsid w:val="00F718DD"/>
    <w:rsid w:val="00F74C67"/>
    <w:rsid w:val="00F758FA"/>
    <w:rsid w:val="00F81E53"/>
    <w:rsid w:val="00F82057"/>
    <w:rsid w:val="00F823FE"/>
    <w:rsid w:val="00F83527"/>
    <w:rsid w:val="00F9453E"/>
    <w:rsid w:val="00F94CDC"/>
    <w:rsid w:val="00FA04A3"/>
    <w:rsid w:val="00FA50B9"/>
    <w:rsid w:val="00FA6300"/>
    <w:rsid w:val="00FA6940"/>
    <w:rsid w:val="00FB1CBB"/>
    <w:rsid w:val="00FB2ACD"/>
    <w:rsid w:val="00FB5B21"/>
    <w:rsid w:val="00FC25DC"/>
    <w:rsid w:val="00FC2E83"/>
    <w:rsid w:val="00FC5B36"/>
    <w:rsid w:val="00FD3350"/>
    <w:rsid w:val="00FD4D8A"/>
    <w:rsid w:val="00FD583F"/>
    <w:rsid w:val="00FD7488"/>
    <w:rsid w:val="00FD7F73"/>
    <w:rsid w:val="00FE1911"/>
    <w:rsid w:val="00FE31E2"/>
    <w:rsid w:val="00FE3E71"/>
    <w:rsid w:val="00FE479A"/>
    <w:rsid w:val="00FE488C"/>
    <w:rsid w:val="00FF0348"/>
    <w:rsid w:val="00FF16B4"/>
    <w:rsid w:val="00FF2E79"/>
    <w:rsid w:val="00FF40CF"/>
    <w:rsid w:val="00FF61F1"/>
    <w:rsid w:val="00FF66BD"/>
    <w:rsid w:val="05C88CAE"/>
    <w:rsid w:val="1E43D7C5"/>
    <w:rsid w:val="4EB7740F"/>
    <w:rsid w:val="51406870"/>
  </w:rsids>
  <m:mathPr>
    <m:mathFont m:val="Cambria Math"/>
    <m:brkBin m:val="before"/>
    <m:brkBinSub m:val="--"/>
    <m:smallFrac m:val="0"/>
    <m:dispDef/>
    <m:lMargin m:val="1440"/>
    <m:rMargin m:val="1440"/>
    <m:defJc m:val="centerGroup"/>
    <m:wrapIndent m:val="1440"/>
    <m:intLim m:val="subSup"/>
    <m:naryLim m:val="undOvr"/>
  </m:mathPr>
  <w:attachedSchema w:val="http://schemas.microsoft.com/temp/samples"/>
  <w:themeFontLang w:val="en-US" w:eastAsia="ja-JP" w:bidi="hi-I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E43D7C5"/>
  <w15:docId w15:val="{D6A79B31-4F02-5A47-BD5E-309654B517B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qFormat="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iPriority="3" w:unhideWhenUsed="1"/>
    <w:lsdException w:name="Hyperlink" w:semiHidden="1"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unhideWhenUsed="1"/>
    <w:lsdException w:name="No Spacing" w:uiPriority="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List Paragraph" w:uiPriority="34" w:qFormat="1"/>
    <w:lsdException w:name="Quote" w:uiPriority="29" w:qFormat="1"/>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rsid w:val="006904A7"/>
    <w:pPr>
      <w:spacing w:before="240" w:after="280" w:line="360" w:lineRule="auto"/>
    </w:pPr>
    <w:rPr>
      <w:rFonts w:ascii="Arial Nova" w:hAnsi="Arial Nova"/>
      <w:szCs w:val="20"/>
    </w:rPr>
  </w:style>
  <w:style w:type="paragraph" w:styleId="Heading1">
    <w:name w:val="heading 1"/>
    <w:basedOn w:val="Heading3"/>
    <w:next w:val="Normal"/>
    <w:link w:val="Heading1Char"/>
    <w:autoRedefine/>
    <w:uiPriority w:val="9"/>
    <w:qFormat/>
    <w:rsid w:val="000214FF"/>
    <w:pPr>
      <w:outlineLvl w:val="0"/>
    </w:pPr>
    <w:rPr>
      <w:rFonts w:ascii="Inter ExtraBold" w:hAnsi="Inter ExtraBold"/>
      <w:bCs/>
      <w:sz w:val="28"/>
      <w:szCs w:val="28"/>
    </w:rPr>
  </w:style>
  <w:style w:type="paragraph" w:styleId="Heading2">
    <w:name w:val="heading 2"/>
    <w:basedOn w:val="Heading3"/>
    <w:next w:val="Normal"/>
    <w:link w:val="Heading2Char"/>
    <w:uiPriority w:val="9"/>
    <w:unhideWhenUsed/>
    <w:qFormat/>
    <w:rsid w:val="000214FF"/>
    <w:pPr>
      <w:outlineLvl w:val="1"/>
    </w:pPr>
    <w:rPr>
      <w:rFonts w:ascii="Inter SemiBold Italic" w:hAnsi="Inter SemiBold Italic"/>
      <w:bCs/>
    </w:rPr>
  </w:style>
  <w:style w:type="paragraph" w:styleId="Heading3">
    <w:name w:val="heading 3"/>
    <w:basedOn w:val="Normal"/>
    <w:next w:val="Normal"/>
    <w:link w:val="Heading3Char"/>
    <w:uiPriority w:val="9"/>
    <w:unhideWhenUsed/>
    <w:qFormat/>
    <w:rsid w:val="00053D98"/>
    <w:pPr>
      <w:keepNext/>
      <w:keepLines/>
      <w:spacing w:before="200" w:after="120" w:line="276" w:lineRule="auto"/>
      <w:jc w:val="both"/>
      <w:outlineLvl w:val="2"/>
    </w:pPr>
    <w:rPr>
      <w:rFonts w:eastAsiaTheme="majorEastAsia" w:cstheme="majorBidi"/>
      <w:b/>
      <w:color w:val="1D2933" w:themeColor="text1"/>
      <w:sz w:val="26"/>
      <w:szCs w:val="26"/>
      <w:lang w:val="en-AU"/>
    </w:rPr>
  </w:style>
  <w:style w:type="paragraph" w:styleId="Heading4">
    <w:name w:val="heading 4"/>
    <w:basedOn w:val="Heading2"/>
    <w:next w:val="Normal"/>
    <w:link w:val="Heading4Char"/>
    <w:uiPriority w:val="9"/>
    <w:unhideWhenUsed/>
    <w:qFormat/>
    <w:rsid w:val="00053D98"/>
    <w:pPr>
      <w:outlineLvl w:val="3"/>
    </w:pPr>
    <w:rPr>
      <w:rFonts w:asciiTheme="minorHAnsi" w:hAnsiTheme="minorHAnsi"/>
      <w:bCs w:val="0"/>
      <w:sz w:val="24"/>
      <w:szCs w:val="32"/>
    </w:rPr>
  </w:style>
  <w:style w:type="paragraph" w:styleId="Heading5">
    <w:name w:val="heading 5"/>
    <w:basedOn w:val="Normal"/>
    <w:next w:val="Normal"/>
    <w:link w:val="Heading5Char"/>
    <w:uiPriority w:val="9"/>
    <w:unhideWhenUsed/>
    <w:qFormat/>
    <w:rsid w:val="00DE363F"/>
    <w:pPr>
      <w:keepNext/>
      <w:keepLines/>
      <w:spacing w:after="120" w:line="276" w:lineRule="auto"/>
      <w:outlineLvl w:val="4"/>
    </w:pPr>
    <w:rPr>
      <w:rFonts w:eastAsiaTheme="majorEastAsia" w:cstheme="majorBidi"/>
      <w:b/>
      <w:color w:val="1D2933" w:themeColor="text1"/>
    </w:rPr>
  </w:style>
  <w:style w:type="paragraph" w:styleId="Heading6">
    <w:name w:val="heading 6"/>
    <w:basedOn w:val="Heading3"/>
    <w:next w:val="Normal"/>
    <w:link w:val="Heading6Char"/>
    <w:uiPriority w:val="9"/>
    <w:unhideWhenUsed/>
    <w:qFormat/>
    <w:rsid w:val="00DE363F"/>
    <w:pPr>
      <w:outlineLvl w:val="5"/>
    </w:pPr>
    <w:rPr>
      <w:b w:val="0"/>
      <w:color w:val="446077" w:themeColor="text1" w:themeTint="BF"/>
      <w:sz w:val="21"/>
      <w:lang w:val="en-GB"/>
    </w:rPr>
  </w:style>
  <w:style w:type="paragraph" w:styleId="Heading7">
    <w:name w:val="heading 7"/>
    <w:basedOn w:val="Normal"/>
    <w:next w:val="Normal"/>
    <w:link w:val="Heading7Char"/>
    <w:uiPriority w:val="9"/>
    <w:unhideWhenUsed/>
    <w:rsid w:val="009F6D6A"/>
    <w:pPr>
      <w:keepNext/>
      <w:keepLines/>
      <w:spacing w:before="40" w:after="0"/>
      <w:outlineLvl w:val="6"/>
    </w:pPr>
    <w:rPr>
      <w:rFonts w:eastAsiaTheme="majorEastAsia" w:cstheme="majorBidi"/>
      <w:i/>
      <w:iCs/>
      <w:color w:val="1D2933" w:themeColor="text1"/>
    </w:rPr>
  </w:style>
  <w:style w:type="paragraph" w:styleId="Heading8">
    <w:name w:val="heading 8"/>
    <w:basedOn w:val="Normal"/>
    <w:next w:val="Normal"/>
    <w:link w:val="Heading8Char"/>
    <w:uiPriority w:val="9"/>
    <w:semiHidden/>
    <w:unhideWhenUsed/>
    <w:qFormat/>
    <w:rsid w:val="002D52F8"/>
    <w:pPr>
      <w:keepNext/>
      <w:keepLines/>
      <w:spacing w:before="40" w:after="0"/>
      <w:outlineLvl w:val="7"/>
    </w:pPr>
    <w:rPr>
      <w:rFonts w:asciiTheme="majorHAnsi" w:eastAsiaTheme="majorEastAsia" w:hAnsiTheme="majorHAnsi" w:cstheme="majorBidi"/>
      <w:color w:val="354A5C" w:themeColor="text1" w:themeTint="D8"/>
      <w:sz w:val="21"/>
      <w:szCs w:val="21"/>
    </w:rPr>
  </w:style>
  <w:style w:type="paragraph" w:styleId="Heading9">
    <w:name w:val="heading 9"/>
    <w:basedOn w:val="Normal"/>
    <w:next w:val="Normal"/>
    <w:link w:val="Heading9Char"/>
    <w:uiPriority w:val="9"/>
    <w:semiHidden/>
    <w:unhideWhenUsed/>
    <w:qFormat/>
    <w:rsid w:val="002D52F8"/>
    <w:pPr>
      <w:keepNext/>
      <w:keepLines/>
      <w:spacing w:before="40" w:after="0"/>
      <w:outlineLvl w:val="8"/>
    </w:pPr>
    <w:rPr>
      <w:rFonts w:asciiTheme="majorHAnsi" w:eastAsiaTheme="majorEastAsia" w:hAnsiTheme="majorHAnsi" w:cstheme="majorBidi"/>
      <w:i/>
      <w:iCs/>
      <w:color w:val="354A5C"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rPr>
  </w:style>
  <w:style w:type="paragraph" w:styleId="Title">
    <w:name w:val="Title"/>
    <w:basedOn w:val="Normal"/>
    <w:next w:val="Normal"/>
    <w:link w:val="TitleChar"/>
    <w:uiPriority w:val="10"/>
    <w:rsid w:val="00C50DBB"/>
    <w:pPr>
      <w:spacing w:line="240" w:lineRule="auto"/>
      <w:contextualSpacing/>
    </w:pPr>
    <w:rPr>
      <w:rFonts w:eastAsiaTheme="majorEastAsia" w:cstheme="majorBidi"/>
      <w:color w:val="355EFF" w:themeColor="text2"/>
      <w:spacing w:val="-10"/>
      <w:kern w:val="28"/>
      <w:sz w:val="40"/>
      <w:szCs w:val="56"/>
    </w:rPr>
  </w:style>
  <w:style w:type="character" w:customStyle="1" w:styleId="TitleChar">
    <w:name w:val="Title Char"/>
    <w:basedOn w:val="DefaultParagraphFont"/>
    <w:link w:val="Title"/>
    <w:uiPriority w:val="10"/>
    <w:rsid w:val="00C50DBB"/>
    <w:rPr>
      <w:rFonts w:ascii="Arial Nova" w:eastAsiaTheme="majorEastAsia" w:hAnsi="Arial Nova" w:cstheme="majorBidi"/>
      <w:color w:val="355EFF" w:themeColor="text2"/>
      <w:spacing w:val="-10"/>
      <w:kern w:val="28"/>
      <w:sz w:val="40"/>
      <w:szCs w:val="56"/>
    </w:rPr>
  </w:style>
  <w:style w:type="paragraph" w:styleId="Subtitle">
    <w:name w:val="Subtitle"/>
    <w:basedOn w:val="Heading2"/>
    <w:next w:val="Normal"/>
    <w:link w:val="SubtitleChar"/>
    <w:qFormat/>
    <w:rsid w:val="00053D98"/>
    <w:rPr>
      <w:rFonts w:ascii="Inter Italic" w:hAnsi="Inter Italic"/>
      <w:sz w:val="28"/>
    </w:rPr>
  </w:style>
  <w:style w:type="character" w:customStyle="1" w:styleId="SubtitleChar">
    <w:name w:val="Subtitle Char"/>
    <w:basedOn w:val="DefaultParagraphFont"/>
    <w:link w:val="Subtitle"/>
    <w:rsid w:val="00053D98"/>
    <w:rPr>
      <w:rFonts w:ascii="Inter Italic" w:eastAsiaTheme="majorEastAsia" w:hAnsi="Inter Italic" w:cstheme="majorBidi"/>
      <w:b/>
      <w:bCs/>
      <w:color w:val="1D2933" w:themeColor="text1"/>
      <w:sz w:val="28"/>
      <w:szCs w:val="25"/>
      <w:lang w:val="en-AU"/>
    </w:rPr>
  </w:style>
  <w:style w:type="character" w:customStyle="1" w:styleId="Heading1Char">
    <w:name w:val="Heading 1 Char"/>
    <w:basedOn w:val="DefaultParagraphFont"/>
    <w:link w:val="Heading1"/>
    <w:uiPriority w:val="9"/>
    <w:rsid w:val="000214FF"/>
    <w:rPr>
      <w:rFonts w:ascii="Inter ExtraBold" w:eastAsiaTheme="majorEastAsia" w:hAnsi="Inter ExtraBold" w:cstheme="majorBidi"/>
      <w:b/>
      <w:bCs/>
      <w:color w:val="1D2933" w:themeColor="text1"/>
      <w:sz w:val="28"/>
      <w:szCs w:val="28"/>
      <w:lang w:val="en-AU"/>
    </w:rPr>
  </w:style>
  <w:style w:type="paragraph" w:styleId="Header">
    <w:name w:val="header"/>
    <w:basedOn w:val="Normal"/>
    <w:link w:val="HeaderChar"/>
    <w:uiPriority w:val="8"/>
    <w:unhideWhenUsed/>
    <w:rsid w:val="005D55B2"/>
  </w:style>
  <w:style w:type="character" w:customStyle="1" w:styleId="HeaderChar">
    <w:name w:val="Header Char"/>
    <w:basedOn w:val="DefaultParagraphFont"/>
    <w:link w:val="Header"/>
    <w:uiPriority w:val="8"/>
    <w:rsid w:val="005D55B2"/>
  </w:style>
  <w:style w:type="paragraph" w:styleId="Footer">
    <w:name w:val="footer"/>
    <w:basedOn w:val="Normal"/>
    <w:link w:val="FooterChar"/>
    <w:uiPriority w:val="99"/>
    <w:unhideWhenUsed/>
    <w:rsid w:val="005037F0"/>
  </w:style>
  <w:style w:type="character" w:customStyle="1" w:styleId="FooterChar">
    <w:name w:val="Footer Char"/>
    <w:basedOn w:val="DefaultParagraphFont"/>
    <w:link w:val="Footer"/>
    <w:uiPriority w:val="99"/>
    <w:rsid w:val="005037F0"/>
    <w:rPr>
      <w:sz w:val="24"/>
      <w:szCs w:val="24"/>
    </w:rPr>
  </w:style>
  <w:style w:type="paragraph" w:customStyle="1" w:styleId="Name">
    <w:name w:val="Name"/>
    <w:basedOn w:val="Normal"/>
    <w:uiPriority w:val="3"/>
    <w:rsid w:val="00B231E5"/>
    <w:pPr>
      <w:spacing w:line="240" w:lineRule="auto"/>
      <w:jc w:val="right"/>
    </w:pPr>
  </w:style>
  <w:style w:type="character" w:customStyle="1" w:styleId="Heading2Char">
    <w:name w:val="Heading 2 Char"/>
    <w:basedOn w:val="DefaultParagraphFont"/>
    <w:link w:val="Heading2"/>
    <w:uiPriority w:val="9"/>
    <w:rsid w:val="000214FF"/>
    <w:rPr>
      <w:rFonts w:ascii="Inter SemiBold Italic" w:eastAsiaTheme="majorEastAsia" w:hAnsi="Inter SemiBold Italic" w:cstheme="majorBidi"/>
      <w:b/>
      <w:bCs/>
      <w:color w:val="1D2933" w:themeColor="text1"/>
      <w:sz w:val="26"/>
      <w:szCs w:val="26"/>
      <w:lang w:val="en-AU"/>
    </w:rPr>
  </w:style>
  <w:style w:type="table" w:styleId="TableGrid">
    <w:name w:val="Table Grid"/>
    <w:basedOn w:val="TableNormal"/>
    <w:uiPriority w:val="39"/>
    <w:rsid w:val="00FF16B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ntent">
    <w:name w:val="Content"/>
    <w:basedOn w:val="Normal"/>
    <w:link w:val="ContentChar"/>
    <w:rsid w:val="00DF027C"/>
    <w:rPr>
      <w:b/>
    </w:rPr>
  </w:style>
  <w:style w:type="paragraph" w:customStyle="1" w:styleId="EmphasisText">
    <w:name w:val="Emphasis Text"/>
    <w:basedOn w:val="Normal"/>
    <w:link w:val="EmphasisTextChar"/>
    <w:rsid w:val="00DF027C"/>
  </w:style>
  <w:style w:type="character" w:customStyle="1" w:styleId="ContentChar">
    <w:name w:val="Content Char"/>
    <w:basedOn w:val="DefaultParagraphFont"/>
    <w:link w:val="Content"/>
    <w:rsid w:val="00DF027C"/>
    <w:rPr>
      <w:rFonts w:eastAsiaTheme="minorEastAsia"/>
      <w:color w:val="355EFF" w:themeColor="text2"/>
      <w:sz w:val="28"/>
      <w:szCs w:val="22"/>
    </w:rPr>
  </w:style>
  <w:style w:type="character" w:customStyle="1" w:styleId="EmphasisTextChar">
    <w:name w:val="Emphasis Text Char"/>
    <w:basedOn w:val="DefaultParagraphFont"/>
    <w:link w:val="EmphasisText"/>
    <w:rsid w:val="00DF027C"/>
    <w:rPr>
      <w:rFonts w:eastAsiaTheme="minorEastAsia"/>
      <w:b/>
      <w:color w:val="355EFF" w:themeColor="text2"/>
      <w:sz w:val="28"/>
      <w:szCs w:val="22"/>
    </w:rPr>
  </w:style>
  <w:style w:type="character" w:customStyle="1" w:styleId="Heading3Char">
    <w:name w:val="Heading 3 Char"/>
    <w:basedOn w:val="DefaultParagraphFont"/>
    <w:link w:val="Heading3"/>
    <w:uiPriority w:val="9"/>
    <w:rsid w:val="00053D98"/>
    <w:rPr>
      <w:rFonts w:ascii="Arial Nova" w:eastAsiaTheme="majorEastAsia" w:hAnsi="Arial Nova" w:cstheme="majorBidi"/>
      <w:b/>
      <w:color w:val="1D2933" w:themeColor="text1"/>
      <w:sz w:val="26"/>
      <w:szCs w:val="26"/>
      <w:lang w:val="en-AU"/>
    </w:rPr>
  </w:style>
  <w:style w:type="character" w:customStyle="1" w:styleId="Heading4Char">
    <w:name w:val="Heading 4 Char"/>
    <w:basedOn w:val="DefaultParagraphFont"/>
    <w:link w:val="Heading4"/>
    <w:uiPriority w:val="9"/>
    <w:rsid w:val="00053D98"/>
    <w:rPr>
      <w:rFonts w:eastAsiaTheme="majorEastAsia" w:cstheme="majorBidi"/>
      <w:b/>
      <w:color w:val="1D2933" w:themeColor="text1"/>
      <w:sz w:val="24"/>
      <w:szCs w:val="32"/>
      <w:lang w:val="en-AU"/>
    </w:rPr>
  </w:style>
  <w:style w:type="character" w:customStyle="1" w:styleId="Heading5Char">
    <w:name w:val="Heading 5 Char"/>
    <w:basedOn w:val="DefaultParagraphFont"/>
    <w:link w:val="Heading5"/>
    <w:uiPriority w:val="9"/>
    <w:rsid w:val="00DE363F"/>
    <w:rPr>
      <w:rFonts w:ascii="Arial Nova" w:eastAsiaTheme="majorEastAsia" w:hAnsi="Arial Nova" w:cstheme="majorBidi"/>
      <w:b/>
      <w:color w:val="1D2933" w:themeColor="text1"/>
      <w:szCs w:val="20"/>
    </w:rPr>
  </w:style>
  <w:style w:type="character" w:customStyle="1" w:styleId="Heading6Char">
    <w:name w:val="Heading 6 Char"/>
    <w:basedOn w:val="DefaultParagraphFont"/>
    <w:link w:val="Heading6"/>
    <w:uiPriority w:val="9"/>
    <w:rsid w:val="00DE363F"/>
    <w:rPr>
      <w:rFonts w:ascii="Arial Nova" w:eastAsiaTheme="majorEastAsia" w:hAnsi="Arial Nova" w:cstheme="majorBidi"/>
      <w:color w:val="446077" w:themeColor="text1" w:themeTint="BF"/>
      <w:sz w:val="21"/>
      <w:szCs w:val="24"/>
      <w:lang w:val="en-GB"/>
    </w:rPr>
  </w:style>
  <w:style w:type="character" w:customStyle="1" w:styleId="Heading7Char">
    <w:name w:val="Heading 7 Char"/>
    <w:basedOn w:val="DefaultParagraphFont"/>
    <w:link w:val="Heading7"/>
    <w:uiPriority w:val="9"/>
    <w:rsid w:val="009F6D6A"/>
    <w:rPr>
      <w:rFonts w:ascii="Arial Nova" w:eastAsiaTheme="majorEastAsia" w:hAnsi="Arial Nova" w:cstheme="majorBidi"/>
      <w:i/>
      <w:iCs/>
      <w:color w:val="1D2933" w:themeColor="text1"/>
      <w:sz w:val="20"/>
      <w:szCs w:val="20"/>
    </w:rPr>
  </w:style>
  <w:style w:type="character" w:customStyle="1" w:styleId="Heading8Char">
    <w:name w:val="Heading 8 Char"/>
    <w:basedOn w:val="DefaultParagraphFont"/>
    <w:link w:val="Heading8"/>
    <w:uiPriority w:val="9"/>
    <w:semiHidden/>
    <w:rsid w:val="002D52F8"/>
    <w:rPr>
      <w:rFonts w:asciiTheme="majorHAnsi" w:eastAsiaTheme="majorEastAsia" w:hAnsiTheme="majorHAnsi" w:cstheme="majorBidi"/>
      <w:color w:val="354A5C" w:themeColor="text1" w:themeTint="D8"/>
      <w:sz w:val="21"/>
      <w:szCs w:val="21"/>
    </w:rPr>
  </w:style>
  <w:style w:type="character" w:customStyle="1" w:styleId="Heading9Char">
    <w:name w:val="Heading 9 Char"/>
    <w:basedOn w:val="DefaultParagraphFont"/>
    <w:link w:val="Heading9"/>
    <w:uiPriority w:val="9"/>
    <w:semiHidden/>
    <w:rsid w:val="002D52F8"/>
    <w:rPr>
      <w:rFonts w:asciiTheme="majorHAnsi" w:eastAsiaTheme="majorEastAsia" w:hAnsiTheme="majorHAnsi" w:cstheme="majorBidi"/>
      <w:i/>
      <w:iCs/>
      <w:color w:val="354A5C" w:themeColor="text1" w:themeTint="D8"/>
      <w:sz w:val="21"/>
      <w:szCs w:val="21"/>
    </w:rPr>
  </w:style>
  <w:style w:type="paragraph" w:styleId="Caption">
    <w:name w:val="caption"/>
    <w:aliases w:val="Figure Title"/>
    <w:basedOn w:val="Heading6"/>
    <w:next w:val="Normal"/>
    <w:link w:val="CaptionChar"/>
    <w:uiPriority w:val="35"/>
    <w:unhideWhenUsed/>
    <w:qFormat/>
    <w:rsid w:val="00DE363F"/>
    <w:pPr>
      <w:spacing w:before="60" w:line="240" w:lineRule="auto"/>
    </w:pPr>
    <w:rPr>
      <w:b/>
      <w:color w:val="1D2933" w:themeColor="text1"/>
      <w:sz w:val="22"/>
    </w:rPr>
  </w:style>
  <w:style w:type="character" w:styleId="Strong">
    <w:name w:val="Strong"/>
    <w:basedOn w:val="DefaultParagraphFont"/>
    <w:uiPriority w:val="22"/>
    <w:qFormat/>
    <w:rsid w:val="002D52F8"/>
    <w:rPr>
      <w:rFonts w:ascii="Arial Nova" w:hAnsi="Arial Nova"/>
      <w:b/>
      <w:bCs/>
    </w:rPr>
  </w:style>
  <w:style w:type="character" w:styleId="Emphasis">
    <w:name w:val="Emphasis"/>
    <w:basedOn w:val="DefaultParagraphFont"/>
    <w:uiPriority w:val="20"/>
    <w:qFormat/>
    <w:rsid w:val="009F6D6A"/>
    <w:rPr>
      <w:rFonts w:ascii="Arial Nova" w:hAnsi="Arial Nova"/>
      <w:i/>
      <w:iCs/>
    </w:rPr>
  </w:style>
  <w:style w:type="paragraph" w:styleId="NoSpacing">
    <w:name w:val="No Spacing"/>
    <w:uiPriority w:val="1"/>
    <w:rsid w:val="002D52F8"/>
    <w:pPr>
      <w:spacing w:after="0" w:line="240" w:lineRule="auto"/>
    </w:pPr>
    <w:rPr>
      <w:rFonts w:ascii="Arial Nova" w:hAnsi="Arial Nova"/>
      <w:sz w:val="20"/>
    </w:rPr>
  </w:style>
  <w:style w:type="paragraph" w:styleId="Quote">
    <w:name w:val="Quote"/>
    <w:basedOn w:val="Normal"/>
    <w:next w:val="Normal"/>
    <w:link w:val="QuoteChar"/>
    <w:uiPriority w:val="29"/>
    <w:qFormat/>
    <w:rsid w:val="00DE363F"/>
    <w:pPr>
      <w:pBdr>
        <w:left w:val="single" w:sz="12" w:space="6" w:color="355EFF" w:themeColor="text2"/>
      </w:pBdr>
      <w:spacing w:before="360" w:line="240" w:lineRule="auto"/>
      <w:ind w:left="851" w:right="851"/>
    </w:pPr>
    <w:rPr>
      <w:b/>
      <w:iCs/>
      <w:color w:val="355EFF" w:themeColor="text2"/>
      <w:sz w:val="21"/>
    </w:rPr>
  </w:style>
  <w:style w:type="character" w:customStyle="1" w:styleId="QuoteChar">
    <w:name w:val="Quote Char"/>
    <w:basedOn w:val="DefaultParagraphFont"/>
    <w:link w:val="Quote"/>
    <w:uiPriority w:val="29"/>
    <w:rsid w:val="00DE363F"/>
    <w:rPr>
      <w:rFonts w:ascii="Arial Nova" w:hAnsi="Arial Nova"/>
      <w:b/>
      <w:iCs/>
      <w:color w:val="355EFF" w:themeColor="text2"/>
      <w:sz w:val="21"/>
      <w:szCs w:val="20"/>
    </w:rPr>
  </w:style>
  <w:style w:type="paragraph" w:styleId="IntenseQuote">
    <w:name w:val="Intense Quote"/>
    <w:basedOn w:val="Normal"/>
    <w:next w:val="Normal"/>
    <w:link w:val="IntenseQuoteChar"/>
    <w:uiPriority w:val="30"/>
    <w:rsid w:val="00C1629A"/>
    <w:pPr>
      <w:spacing w:after="160"/>
    </w:pPr>
    <w:rPr>
      <w:color w:val="355EFF" w:themeColor="text2"/>
      <w:lang w:val="en-GB"/>
    </w:rPr>
  </w:style>
  <w:style w:type="character" w:customStyle="1" w:styleId="IntenseQuoteChar">
    <w:name w:val="Intense Quote Char"/>
    <w:basedOn w:val="DefaultParagraphFont"/>
    <w:link w:val="IntenseQuote"/>
    <w:uiPriority w:val="30"/>
    <w:rsid w:val="00C1629A"/>
    <w:rPr>
      <w:color w:val="355EFF" w:themeColor="text2"/>
      <w:sz w:val="20"/>
      <w:szCs w:val="20"/>
      <w:lang w:val="en-GB"/>
    </w:rPr>
  </w:style>
  <w:style w:type="paragraph" w:styleId="TOCHeading">
    <w:name w:val="TOC Heading"/>
    <w:basedOn w:val="Heading1"/>
    <w:next w:val="Normal"/>
    <w:uiPriority w:val="39"/>
    <w:unhideWhenUsed/>
    <w:qFormat/>
    <w:rsid w:val="00DE363F"/>
    <w:pPr>
      <w:outlineLvl w:val="9"/>
    </w:pPr>
    <w:rPr>
      <w:sz w:val="32"/>
    </w:rPr>
  </w:style>
  <w:style w:type="paragraph" w:styleId="ListParagraph">
    <w:name w:val="List Paragraph"/>
    <w:aliases w:val="Key Findings"/>
    <w:basedOn w:val="Normal"/>
    <w:uiPriority w:val="34"/>
    <w:qFormat/>
    <w:rsid w:val="0072066A"/>
    <w:pPr>
      <w:numPr>
        <w:numId w:val="2"/>
      </w:numPr>
      <w:spacing w:before="120" w:after="120" w:line="276" w:lineRule="auto"/>
      <w:ind w:left="426" w:hanging="426"/>
    </w:pPr>
    <w:rPr>
      <w:rFonts w:ascii="Inter Medium Italic" w:hAnsi="Inter Medium Italic"/>
      <w:color w:val="1D2933" w:themeColor="text1"/>
      <w:sz w:val="23"/>
      <w:szCs w:val="23"/>
    </w:rPr>
  </w:style>
  <w:style w:type="paragraph" w:styleId="TOC2">
    <w:name w:val="toc 2"/>
    <w:basedOn w:val="Normal"/>
    <w:next w:val="Normal"/>
    <w:autoRedefine/>
    <w:uiPriority w:val="39"/>
    <w:unhideWhenUsed/>
    <w:rsid w:val="00513724"/>
    <w:pPr>
      <w:spacing w:before="120" w:after="0"/>
      <w:ind w:left="220"/>
    </w:pPr>
    <w:rPr>
      <w:rFonts w:asciiTheme="minorHAnsi" w:hAnsiTheme="minorHAnsi"/>
      <w:i/>
      <w:iCs/>
      <w:sz w:val="20"/>
    </w:rPr>
  </w:style>
  <w:style w:type="character" w:styleId="Hyperlink">
    <w:name w:val="Hyperlink"/>
    <w:basedOn w:val="DefaultParagraphFont"/>
    <w:uiPriority w:val="99"/>
    <w:unhideWhenUsed/>
    <w:qFormat/>
    <w:rsid w:val="002D52F8"/>
    <w:rPr>
      <w:color w:val="607890" w:themeColor="background2" w:themeShade="80"/>
      <w:u w:val="single"/>
    </w:rPr>
  </w:style>
  <w:style w:type="paragraph" w:styleId="TOC1">
    <w:name w:val="toc 1"/>
    <w:basedOn w:val="Normal"/>
    <w:next w:val="Normal"/>
    <w:link w:val="TOC1Char"/>
    <w:autoRedefine/>
    <w:uiPriority w:val="39"/>
    <w:unhideWhenUsed/>
    <w:rsid w:val="004F69C4"/>
    <w:pPr>
      <w:spacing w:after="120"/>
    </w:pPr>
    <w:rPr>
      <w:rFonts w:asciiTheme="minorHAnsi" w:hAnsiTheme="minorHAnsi"/>
      <w:b/>
      <w:bCs/>
      <w:sz w:val="20"/>
    </w:rPr>
  </w:style>
  <w:style w:type="character" w:styleId="UnresolvedMention">
    <w:name w:val="Unresolved Mention"/>
    <w:basedOn w:val="DefaultParagraphFont"/>
    <w:uiPriority w:val="99"/>
    <w:semiHidden/>
    <w:unhideWhenUsed/>
    <w:rsid w:val="0060282F"/>
    <w:rPr>
      <w:color w:val="605E5C"/>
      <w:shd w:val="clear" w:color="auto" w:fill="E1DFDD"/>
    </w:rPr>
  </w:style>
  <w:style w:type="paragraph" w:styleId="EndnoteText">
    <w:name w:val="endnote text"/>
    <w:basedOn w:val="Normal"/>
    <w:link w:val="EndnoteTextChar"/>
    <w:uiPriority w:val="99"/>
    <w:semiHidden/>
    <w:unhideWhenUsed/>
    <w:rsid w:val="008D676C"/>
    <w:pPr>
      <w:spacing w:before="0" w:after="0" w:line="240" w:lineRule="auto"/>
    </w:pPr>
  </w:style>
  <w:style w:type="character" w:customStyle="1" w:styleId="EndnoteTextChar">
    <w:name w:val="Endnote Text Char"/>
    <w:basedOn w:val="DefaultParagraphFont"/>
    <w:link w:val="EndnoteText"/>
    <w:uiPriority w:val="99"/>
    <w:semiHidden/>
    <w:rsid w:val="008D676C"/>
    <w:rPr>
      <w:sz w:val="20"/>
      <w:szCs w:val="20"/>
    </w:rPr>
  </w:style>
  <w:style w:type="character" w:styleId="EndnoteReference">
    <w:name w:val="endnote reference"/>
    <w:basedOn w:val="DefaultParagraphFont"/>
    <w:uiPriority w:val="99"/>
    <w:semiHidden/>
    <w:unhideWhenUsed/>
    <w:rsid w:val="008D676C"/>
    <w:rPr>
      <w:vertAlign w:val="superscript"/>
    </w:rPr>
  </w:style>
  <w:style w:type="paragraph" w:styleId="FootnoteText">
    <w:name w:val="footnote text"/>
    <w:basedOn w:val="Normal"/>
    <w:link w:val="FootnoteTextChar"/>
    <w:uiPriority w:val="99"/>
    <w:unhideWhenUsed/>
    <w:qFormat/>
    <w:rsid w:val="00953BBB"/>
    <w:pPr>
      <w:spacing w:before="0" w:after="0" w:line="240" w:lineRule="auto"/>
    </w:pPr>
    <w:rPr>
      <w:color w:val="303C48" w:themeColor="background2" w:themeShade="40"/>
      <w:sz w:val="16"/>
    </w:rPr>
  </w:style>
  <w:style w:type="character" w:customStyle="1" w:styleId="FootnoteTextChar">
    <w:name w:val="Footnote Text Char"/>
    <w:basedOn w:val="DefaultParagraphFont"/>
    <w:link w:val="FootnoteText"/>
    <w:uiPriority w:val="99"/>
    <w:qFormat/>
    <w:rsid w:val="00953BBB"/>
    <w:rPr>
      <w:rFonts w:ascii="Arial Nova" w:hAnsi="Arial Nova"/>
      <w:color w:val="303C48" w:themeColor="background2" w:themeShade="40"/>
      <w:sz w:val="16"/>
      <w:szCs w:val="20"/>
    </w:rPr>
  </w:style>
  <w:style w:type="character" w:styleId="FootnoteReference">
    <w:name w:val="footnote reference"/>
    <w:basedOn w:val="DefaultParagraphFont"/>
    <w:uiPriority w:val="99"/>
    <w:semiHidden/>
    <w:unhideWhenUsed/>
    <w:qFormat/>
    <w:rsid w:val="008D676C"/>
    <w:rPr>
      <w:vertAlign w:val="superscript"/>
    </w:rPr>
  </w:style>
  <w:style w:type="paragraph" w:styleId="NormalWeb">
    <w:name w:val="Normal (Web)"/>
    <w:basedOn w:val="Normal"/>
    <w:uiPriority w:val="99"/>
    <w:unhideWhenUsed/>
    <w:rsid w:val="00323B89"/>
    <w:rPr>
      <w:rFonts w:ascii="Times New Roman" w:hAnsi="Times New Roman" w:cs="Times New Roman"/>
      <w:sz w:val="24"/>
      <w:szCs w:val="24"/>
    </w:rPr>
  </w:style>
  <w:style w:type="paragraph" w:customStyle="1" w:styleId="Notes">
    <w:name w:val="Notes"/>
    <w:basedOn w:val="Normal"/>
    <w:link w:val="NotesChar"/>
    <w:qFormat/>
    <w:rsid w:val="002D52F8"/>
    <w:pPr>
      <w:spacing w:after="160" w:line="240" w:lineRule="auto"/>
    </w:pPr>
    <w:rPr>
      <w:sz w:val="12"/>
      <w:lang w:val="en-GB"/>
    </w:rPr>
  </w:style>
  <w:style w:type="character" w:customStyle="1" w:styleId="NotesChar">
    <w:name w:val="Notes Char"/>
    <w:basedOn w:val="DefaultParagraphFont"/>
    <w:link w:val="Notes"/>
    <w:rsid w:val="002D52F8"/>
    <w:rPr>
      <w:rFonts w:ascii="Arial Nova" w:hAnsi="Arial Nova"/>
      <w:sz w:val="12"/>
      <w:szCs w:val="20"/>
      <w:lang w:val="en-GB"/>
    </w:rPr>
  </w:style>
  <w:style w:type="paragraph" w:customStyle="1" w:styleId="TOC">
    <w:name w:val="TOC"/>
    <w:basedOn w:val="TOC1"/>
    <w:link w:val="TOCChar"/>
    <w:qFormat/>
    <w:rsid w:val="002D52F8"/>
    <w:pPr>
      <w:keepNext/>
      <w:keepLines/>
      <w:outlineLvl w:val="0"/>
    </w:pPr>
    <w:rPr>
      <w:bCs w:val="0"/>
      <w:color w:val="1D2933" w:themeColor="text1"/>
    </w:rPr>
  </w:style>
  <w:style w:type="character" w:customStyle="1" w:styleId="TOC1Char">
    <w:name w:val="TOC 1 Char"/>
    <w:basedOn w:val="Heading1Char"/>
    <w:link w:val="TOC1"/>
    <w:uiPriority w:val="39"/>
    <w:rsid w:val="004F69C4"/>
    <w:rPr>
      <w:rFonts w:ascii="Arial Nova" w:eastAsiaTheme="majorEastAsia" w:hAnsi="Arial Nova" w:cstheme="majorBidi"/>
      <w:b/>
      <w:bCs/>
      <w:color w:val="1D2933" w:themeColor="text1"/>
      <w:sz w:val="20"/>
      <w:szCs w:val="20"/>
      <w:lang w:val="en-GB"/>
    </w:rPr>
  </w:style>
  <w:style w:type="character" w:customStyle="1" w:styleId="TOCChar">
    <w:name w:val="TOC Char"/>
    <w:basedOn w:val="TOC1Char"/>
    <w:link w:val="TOC"/>
    <w:rsid w:val="002D52F8"/>
    <w:rPr>
      <w:rFonts w:ascii="Arial Nova" w:eastAsiaTheme="minorEastAsia" w:hAnsi="Arial Nova" w:cs="Times New Roman"/>
      <w:b/>
      <w:bCs w:val="0"/>
      <w:noProof/>
      <w:color w:val="1D2933" w:themeColor="text1"/>
      <w:sz w:val="24"/>
      <w:szCs w:val="48"/>
      <w:lang w:val="en-GB"/>
    </w:rPr>
  </w:style>
  <w:style w:type="table" w:customStyle="1" w:styleId="IEEFATable">
    <w:name w:val="IEEFA Table"/>
    <w:basedOn w:val="TableNormal"/>
    <w:uiPriority w:val="99"/>
    <w:rsid w:val="004D03D6"/>
    <w:pPr>
      <w:spacing w:after="0" w:line="240" w:lineRule="auto"/>
    </w:pPr>
    <w:rPr>
      <w:sz w:val="18"/>
    </w:rPr>
    <w:tblPr>
      <w:tblStyleRowBandSize w:val="1"/>
    </w:tblPr>
    <w:tcPr>
      <w:vAlign w:val="center"/>
    </w:tcPr>
    <w:tblStylePr w:type="firstRow">
      <w:rPr>
        <w:b/>
      </w:rPr>
      <w:tblPr/>
      <w:tcPr>
        <w:shd w:val="clear" w:color="auto" w:fill="D0D8E0" w:themeFill="background2" w:themeFillShade="E6"/>
      </w:tcPr>
    </w:tblStylePr>
    <w:tblStylePr w:type="firstCol">
      <w:rPr>
        <w:b/>
      </w:rPr>
    </w:tblStylePr>
    <w:tblStylePr w:type="band1Horz">
      <w:tblPr/>
      <w:tcPr>
        <w:shd w:val="clear" w:color="auto" w:fill="FFFFFF" w:themeFill="background1"/>
      </w:tcPr>
    </w:tblStylePr>
    <w:tblStylePr w:type="band2Horz">
      <w:tblPr/>
      <w:tcPr>
        <w:shd w:val="clear" w:color="auto" w:fill="EDF0F3" w:themeFill="background2"/>
      </w:tcPr>
    </w:tblStylePr>
  </w:style>
  <w:style w:type="paragraph" w:styleId="TableofFigures">
    <w:name w:val="table of figures"/>
    <w:basedOn w:val="TOC"/>
    <w:next w:val="Normal"/>
    <w:uiPriority w:val="99"/>
    <w:unhideWhenUsed/>
    <w:rsid w:val="00692C69"/>
    <w:pPr>
      <w:spacing w:after="0"/>
    </w:pPr>
  </w:style>
  <w:style w:type="paragraph" w:customStyle="1" w:styleId="AuthorName">
    <w:name w:val="Author Name"/>
    <w:basedOn w:val="Heading4"/>
    <w:link w:val="AuthorNameChar"/>
    <w:qFormat/>
    <w:rsid w:val="0072066A"/>
  </w:style>
  <w:style w:type="character" w:customStyle="1" w:styleId="CaptionChar">
    <w:name w:val="Caption Char"/>
    <w:aliases w:val="Figure Title Char"/>
    <w:basedOn w:val="Heading6Char"/>
    <w:link w:val="Caption"/>
    <w:rsid w:val="00DE363F"/>
    <w:rPr>
      <w:rFonts w:ascii="Arial Nova" w:eastAsiaTheme="majorEastAsia" w:hAnsi="Arial Nova" w:cstheme="majorBidi"/>
      <w:b/>
      <w:color w:val="1D2933" w:themeColor="text1"/>
      <w:sz w:val="21"/>
      <w:szCs w:val="24"/>
      <w:lang w:val="en-GB"/>
    </w:rPr>
  </w:style>
  <w:style w:type="character" w:customStyle="1" w:styleId="AuthorNameChar">
    <w:name w:val="Author Name Char"/>
    <w:basedOn w:val="CaptionChar"/>
    <w:link w:val="AuthorName"/>
    <w:rsid w:val="0072066A"/>
    <w:rPr>
      <w:rFonts w:ascii="Arial Nova" w:eastAsiaTheme="majorEastAsia" w:hAnsi="Arial Nova" w:cstheme="majorBidi"/>
      <w:b/>
      <w:color w:val="1D2933" w:themeColor="text1"/>
      <w:sz w:val="24"/>
      <w:szCs w:val="32"/>
      <w:lang w:val="en-AU"/>
    </w:rPr>
  </w:style>
  <w:style w:type="paragraph" w:customStyle="1" w:styleId="ReportTitle">
    <w:name w:val="Report Title"/>
    <w:basedOn w:val="Heading1"/>
    <w:qFormat/>
    <w:rsid w:val="00D63A6F"/>
    <w:pPr>
      <w:spacing w:line="480" w:lineRule="exact"/>
      <w:jc w:val="left"/>
    </w:pPr>
    <w:rPr>
      <w:sz w:val="40"/>
      <w:szCs w:val="36"/>
    </w:rPr>
  </w:style>
  <w:style w:type="paragraph" w:styleId="BodyText">
    <w:name w:val="Body Text"/>
    <w:basedOn w:val="Heading3"/>
    <w:link w:val="BodyTextChar"/>
    <w:uiPriority w:val="1"/>
    <w:unhideWhenUsed/>
    <w:qFormat/>
    <w:rsid w:val="000214FF"/>
    <w:pPr>
      <w:spacing w:line="290" w:lineRule="exact"/>
    </w:pPr>
    <w:rPr>
      <w:b w:val="0"/>
      <w:bCs/>
      <w:sz w:val="24"/>
    </w:rPr>
  </w:style>
  <w:style w:type="character" w:customStyle="1" w:styleId="BodyTextChar">
    <w:name w:val="Body Text Char"/>
    <w:basedOn w:val="DefaultParagraphFont"/>
    <w:link w:val="BodyText"/>
    <w:uiPriority w:val="1"/>
    <w:qFormat/>
    <w:rsid w:val="000214FF"/>
    <w:rPr>
      <w:rFonts w:ascii="Arial Nova" w:eastAsiaTheme="majorEastAsia" w:hAnsi="Arial Nova" w:cstheme="majorBidi"/>
      <w:bCs/>
      <w:color w:val="1D2933" w:themeColor="text1"/>
      <w:sz w:val="24"/>
      <w:szCs w:val="26"/>
      <w:lang w:val="en-AU"/>
    </w:rPr>
  </w:style>
  <w:style w:type="paragraph" w:customStyle="1" w:styleId="Authors">
    <w:name w:val="Authors"/>
    <w:basedOn w:val="AuthorNamelastpage"/>
    <w:qFormat/>
    <w:rsid w:val="0072066A"/>
    <w:pPr>
      <w:spacing w:after="0"/>
    </w:pPr>
    <w:rPr>
      <w:rFonts w:ascii="Inter SemiBold" w:hAnsi="Inter SemiBold"/>
    </w:rPr>
  </w:style>
  <w:style w:type="table" w:styleId="GridTable4-Accent5">
    <w:name w:val="Grid Table 4 Accent 5"/>
    <w:basedOn w:val="TableNormal"/>
    <w:uiPriority w:val="49"/>
    <w:rsid w:val="0067118B"/>
    <w:pPr>
      <w:spacing w:after="0" w:line="240" w:lineRule="auto"/>
    </w:pPr>
    <w:rPr>
      <w:sz w:val="24"/>
      <w:szCs w:val="24"/>
      <w:lang w:val="en-AU"/>
    </w:rPr>
    <w:tblPr>
      <w:tblStyleRowBandSize w:val="1"/>
      <w:tblStyleColBandSize w:val="1"/>
      <w:tblBorders>
        <w:top w:val="single" w:sz="4" w:space="0" w:color="A2E486" w:themeColor="accent5" w:themeTint="99"/>
        <w:left w:val="single" w:sz="4" w:space="0" w:color="A2E486" w:themeColor="accent5" w:themeTint="99"/>
        <w:bottom w:val="single" w:sz="4" w:space="0" w:color="A2E486" w:themeColor="accent5" w:themeTint="99"/>
        <w:right w:val="single" w:sz="4" w:space="0" w:color="A2E486" w:themeColor="accent5" w:themeTint="99"/>
        <w:insideH w:val="single" w:sz="4" w:space="0" w:color="A2E486" w:themeColor="accent5" w:themeTint="99"/>
        <w:insideV w:val="single" w:sz="4" w:space="0" w:color="A2E486" w:themeColor="accent5" w:themeTint="99"/>
      </w:tblBorders>
    </w:tblPr>
    <w:tblStylePr w:type="firstRow">
      <w:rPr>
        <w:b/>
        <w:bCs/>
        <w:color w:val="FFFFFF" w:themeColor="background1"/>
      </w:rPr>
      <w:tblPr/>
      <w:tcPr>
        <w:tcBorders>
          <w:top w:val="single" w:sz="4" w:space="0" w:color="65D336" w:themeColor="accent5"/>
          <w:left w:val="single" w:sz="4" w:space="0" w:color="65D336" w:themeColor="accent5"/>
          <w:bottom w:val="single" w:sz="4" w:space="0" w:color="65D336" w:themeColor="accent5"/>
          <w:right w:val="single" w:sz="4" w:space="0" w:color="65D336" w:themeColor="accent5"/>
          <w:insideH w:val="nil"/>
          <w:insideV w:val="nil"/>
        </w:tcBorders>
        <w:shd w:val="clear" w:color="auto" w:fill="65D336" w:themeFill="accent5"/>
      </w:tcPr>
    </w:tblStylePr>
    <w:tblStylePr w:type="lastRow">
      <w:rPr>
        <w:b/>
        <w:bCs/>
      </w:rPr>
      <w:tblPr/>
      <w:tcPr>
        <w:tcBorders>
          <w:top w:val="double" w:sz="4" w:space="0" w:color="65D336" w:themeColor="accent5"/>
        </w:tcBorders>
      </w:tcPr>
    </w:tblStylePr>
    <w:tblStylePr w:type="firstCol">
      <w:rPr>
        <w:b/>
        <w:bCs/>
      </w:rPr>
    </w:tblStylePr>
    <w:tblStylePr w:type="lastCol">
      <w:rPr>
        <w:b/>
        <w:bCs/>
      </w:rPr>
    </w:tblStylePr>
    <w:tblStylePr w:type="band1Vert">
      <w:tblPr/>
      <w:tcPr>
        <w:shd w:val="clear" w:color="auto" w:fill="E0F6D6" w:themeFill="accent5" w:themeFillTint="33"/>
      </w:tcPr>
    </w:tblStylePr>
    <w:tblStylePr w:type="band1Horz">
      <w:tblPr/>
      <w:tcPr>
        <w:shd w:val="clear" w:color="auto" w:fill="E0F6D6" w:themeFill="accent5" w:themeFillTint="33"/>
      </w:tcPr>
    </w:tblStylePr>
  </w:style>
  <w:style w:type="table" w:styleId="GridTable3-Accent2">
    <w:name w:val="Grid Table 3 Accent 2"/>
    <w:basedOn w:val="TableNormal"/>
    <w:uiPriority w:val="48"/>
    <w:rsid w:val="00D26BEE"/>
    <w:pPr>
      <w:spacing w:after="0" w:line="240" w:lineRule="auto"/>
    </w:pPr>
    <w:tblPr>
      <w:tblStyleRowBandSize w:val="1"/>
      <w:tblStyleColBandSize w:val="1"/>
      <w:tblBorders>
        <w:top w:val="single" w:sz="4" w:space="0" w:color="9B96DE" w:themeColor="accent2" w:themeTint="99"/>
        <w:left w:val="single" w:sz="4" w:space="0" w:color="9B96DE" w:themeColor="accent2" w:themeTint="99"/>
        <w:bottom w:val="single" w:sz="4" w:space="0" w:color="9B96DE" w:themeColor="accent2" w:themeTint="99"/>
        <w:right w:val="single" w:sz="4" w:space="0" w:color="9B96DE" w:themeColor="accent2" w:themeTint="99"/>
        <w:insideH w:val="single" w:sz="4" w:space="0" w:color="9B96DE" w:themeColor="accent2" w:themeTint="99"/>
        <w:insideV w:val="single" w:sz="4" w:space="0" w:color="9B96DE"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DDCF4" w:themeFill="accent2" w:themeFillTint="33"/>
      </w:tcPr>
    </w:tblStylePr>
    <w:tblStylePr w:type="band1Horz">
      <w:tblPr/>
      <w:tcPr>
        <w:shd w:val="clear" w:color="auto" w:fill="DDDCF4" w:themeFill="accent2" w:themeFillTint="33"/>
      </w:tcPr>
    </w:tblStylePr>
    <w:tblStylePr w:type="neCell">
      <w:tblPr/>
      <w:tcPr>
        <w:tcBorders>
          <w:bottom w:val="single" w:sz="4" w:space="0" w:color="9B96DE" w:themeColor="accent2" w:themeTint="99"/>
        </w:tcBorders>
      </w:tcPr>
    </w:tblStylePr>
    <w:tblStylePr w:type="nwCell">
      <w:tblPr/>
      <w:tcPr>
        <w:tcBorders>
          <w:bottom w:val="single" w:sz="4" w:space="0" w:color="9B96DE" w:themeColor="accent2" w:themeTint="99"/>
        </w:tcBorders>
      </w:tcPr>
    </w:tblStylePr>
    <w:tblStylePr w:type="seCell">
      <w:tblPr/>
      <w:tcPr>
        <w:tcBorders>
          <w:top w:val="single" w:sz="4" w:space="0" w:color="9B96DE" w:themeColor="accent2" w:themeTint="99"/>
        </w:tcBorders>
      </w:tcPr>
    </w:tblStylePr>
    <w:tblStylePr w:type="swCell">
      <w:tblPr/>
      <w:tcPr>
        <w:tcBorders>
          <w:top w:val="single" w:sz="4" w:space="0" w:color="9B96DE" w:themeColor="accent2" w:themeTint="99"/>
        </w:tcBorders>
      </w:tcPr>
    </w:tblStylePr>
  </w:style>
  <w:style w:type="table" w:styleId="PlainTable1">
    <w:name w:val="Plain Table 1"/>
    <w:basedOn w:val="TableNormal"/>
    <w:uiPriority w:val="41"/>
    <w:rsid w:val="00D26BEE"/>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paragraph" w:customStyle="1" w:styleId="FigureSource">
    <w:name w:val="Figure Source"/>
    <w:link w:val="FigureSourceChar"/>
    <w:qFormat/>
    <w:rsid w:val="00053D98"/>
    <w:pPr>
      <w:spacing w:before="240" w:line="276" w:lineRule="auto"/>
    </w:pPr>
    <w:rPr>
      <w:rFonts w:ascii="Arial Nova" w:eastAsiaTheme="minorEastAsia" w:hAnsi="Arial Nova"/>
      <w:i/>
      <w:iCs/>
      <w:color w:val="607890" w:themeColor="background2" w:themeShade="80"/>
      <w:sz w:val="18"/>
      <w:szCs w:val="21"/>
    </w:rPr>
  </w:style>
  <w:style w:type="paragraph" w:styleId="ListBullet">
    <w:name w:val="List Bullet"/>
    <w:basedOn w:val="ListBullet2"/>
    <w:uiPriority w:val="99"/>
    <w:unhideWhenUsed/>
    <w:qFormat/>
    <w:rsid w:val="00117C65"/>
    <w:pPr>
      <w:tabs>
        <w:tab w:val="clear" w:pos="720"/>
      </w:tabs>
      <w:ind w:left="360"/>
    </w:pPr>
  </w:style>
  <w:style w:type="character" w:customStyle="1" w:styleId="FigureSourceChar">
    <w:name w:val="Figure Source Char"/>
    <w:basedOn w:val="DefaultParagraphFont"/>
    <w:link w:val="FigureSource"/>
    <w:rsid w:val="00053D98"/>
    <w:rPr>
      <w:rFonts w:ascii="Arial Nova" w:eastAsiaTheme="minorEastAsia" w:hAnsi="Arial Nova"/>
      <w:i/>
      <w:iCs/>
      <w:color w:val="607890" w:themeColor="background2" w:themeShade="80"/>
      <w:sz w:val="18"/>
      <w:szCs w:val="21"/>
    </w:rPr>
  </w:style>
  <w:style w:type="paragraph" w:customStyle="1" w:styleId="PullQuote">
    <w:name w:val="Pull Quote"/>
    <w:qFormat/>
    <w:rsid w:val="00117C65"/>
    <w:pPr>
      <w:spacing w:before="320" w:after="320" w:line="240" w:lineRule="auto"/>
      <w:jc w:val="center"/>
    </w:pPr>
    <w:rPr>
      <w:rFonts w:asciiTheme="majorHAnsi" w:hAnsiTheme="majorHAnsi" w:cs="Times New Roman (Body CS)"/>
      <w:b/>
      <w:color w:val="FFD000" w:themeColor="accent1"/>
      <w:sz w:val="28"/>
      <w:szCs w:val="28"/>
      <w:lang w:val="en-GB" w:eastAsia="en-GB"/>
    </w:rPr>
  </w:style>
  <w:style w:type="paragraph" w:styleId="ListBullet2">
    <w:name w:val="List Bullet 2"/>
    <w:basedOn w:val="BodyText"/>
    <w:uiPriority w:val="99"/>
    <w:unhideWhenUsed/>
    <w:rsid w:val="00117C65"/>
    <w:pPr>
      <w:tabs>
        <w:tab w:val="num" w:pos="720"/>
      </w:tabs>
      <w:snapToGrid w:val="0"/>
      <w:spacing w:before="0" w:after="220"/>
      <w:ind w:left="720" w:right="2016" w:hanging="360"/>
    </w:pPr>
    <w:rPr>
      <w:rFonts w:asciiTheme="minorHAnsi" w:hAnsiTheme="minorHAnsi" w:cs="Times New Roman (Body CS)"/>
      <w:szCs w:val="22"/>
      <w:lang w:val="en-GB" w:eastAsia="en-GB"/>
    </w:rPr>
  </w:style>
  <w:style w:type="numbering" w:customStyle="1" w:styleId="CurrentList1">
    <w:name w:val="Current List1"/>
    <w:uiPriority w:val="99"/>
    <w:rsid w:val="00094D98"/>
    <w:pPr>
      <w:numPr>
        <w:numId w:val="1"/>
      </w:numPr>
    </w:pPr>
  </w:style>
  <w:style w:type="paragraph" w:styleId="CommentText">
    <w:name w:val="annotation text"/>
    <w:basedOn w:val="Normal"/>
    <w:link w:val="CommentTextChar"/>
    <w:uiPriority w:val="99"/>
    <w:unhideWhenUsed/>
    <w:rsid w:val="00094D98"/>
    <w:pPr>
      <w:spacing w:line="240" w:lineRule="auto"/>
    </w:pPr>
    <w:rPr>
      <w:sz w:val="20"/>
    </w:rPr>
  </w:style>
  <w:style w:type="character" w:customStyle="1" w:styleId="CommentTextChar">
    <w:name w:val="Comment Text Char"/>
    <w:basedOn w:val="DefaultParagraphFont"/>
    <w:link w:val="CommentText"/>
    <w:uiPriority w:val="99"/>
    <w:rsid w:val="00094D98"/>
    <w:rPr>
      <w:rFonts w:ascii="Arial Nova" w:hAnsi="Arial Nova"/>
      <w:sz w:val="20"/>
      <w:szCs w:val="20"/>
    </w:rPr>
  </w:style>
  <w:style w:type="character" w:styleId="CommentReference">
    <w:name w:val="annotation reference"/>
    <w:basedOn w:val="DefaultParagraphFont"/>
    <w:uiPriority w:val="99"/>
    <w:semiHidden/>
    <w:unhideWhenUsed/>
    <w:rsid w:val="00094D98"/>
    <w:rPr>
      <w:sz w:val="16"/>
      <w:szCs w:val="16"/>
    </w:rPr>
  </w:style>
  <w:style w:type="character" w:styleId="FollowedHyperlink">
    <w:name w:val="FollowedHyperlink"/>
    <w:basedOn w:val="DefaultParagraphFont"/>
    <w:uiPriority w:val="99"/>
    <w:semiHidden/>
    <w:unhideWhenUsed/>
    <w:rsid w:val="00094D98"/>
    <w:rPr>
      <w:color w:val="56318A" w:themeColor="followedHyperlink"/>
      <w:u w:val="single"/>
    </w:rPr>
  </w:style>
  <w:style w:type="table" w:styleId="TableGridLight">
    <w:name w:val="Grid Table Light"/>
    <w:basedOn w:val="TableNormal"/>
    <w:uiPriority w:val="40"/>
    <w:rsid w:val="00094D98"/>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GridTable6Colorful">
    <w:name w:val="Grid Table 6 Colorful"/>
    <w:basedOn w:val="TableNormal"/>
    <w:uiPriority w:val="51"/>
    <w:rsid w:val="00094D98"/>
    <w:pPr>
      <w:spacing w:after="0" w:line="240" w:lineRule="auto"/>
    </w:pPr>
    <w:rPr>
      <w:color w:val="1D2933" w:themeColor="text1"/>
    </w:rPr>
    <w:tblPr>
      <w:tblStyleRowBandSize w:val="1"/>
      <w:tblStyleColBandSize w:val="1"/>
      <w:tblBorders>
        <w:top w:val="single" w:sz="4" w:space="0" w:color="5B81A0" w:themeColor="text1" w:themeTint="99"/>
        <w:left w:val="single" w:sz="4" w:space="0" w:color="5B81A0" w:themeColor="text1" w:themeTint="99"/>
        <w:bottom w:val="single" w:sz="4" w:space="0" w:color="5B81A0" w:themeColor="text1" w:themeTint="99"/>
        <w:right w:val="single" w:sz="4" w:space="0" w:color="5B81A0" w:themeColor="text1" w:themeTint="99"/>
        <w:insideH w:val="single" w:sz="4" w:space="0" w:color="5B81A0" w:themeColor="text1" w:themeTint="99"/>
        <w:insideV w:val="single" w:sz="4" w:space="0" w:color="5B81A0" w:themeColor="text1" w:themeTint="99"/>
      </w:tblBorders>
    </w:tblPr>
    <w:tblStylePr w:type="firstRow">
      <w:rPr>
        <w:b/>
        <w:bCs/>
      </w:rPr>
      <w:tblPr/>
      <w:tcPr>
        <w:tcBorders>
          <w:bottom w:val="single" w:sz="12" w:space="0" w:color="5B81A0" w:themeColor="text1" w:themeTint="99"/>
        </w:tcBorders>
      </w:tcPr>
    </w:tblStylePr>
    <w:tblStylePr w:type="lastRow">
      <w:rPr>
        <w:b/>
        <w:bCs/>
      </w:rPr>
      <w:tblPr/>
      <w:tcPr>
        <w:tcBorders>
          <w:top w:val="double" w:sz="4" w:space="0" w:color="5B81A0" w:themeColor="text1" w:themeTint="99"/>
        </w:tcBorders>
      </w:tcPr>
    </w:tblStylePr>
    <w:tblStylePr w:type="firstCol">
      <w:rPr>
        <w:b/>
        <w:bCs/>
      </w:rPr>
    </w:tblStylePr>
    <w:tblStylePr w:type="lastCol">
      <w:rPr>
        <w:b/>
        <w:bCs/>
      </w:rPr>
    </w:tblStylePr>
    <w:tblStylePr w:type="band1Vert">
      <w:tblPr/>
      <w:tcPr>
        <w:shd w:val="clear" w:color="auto" w:fill="C8D5DF" w:themeFill="text1" w:themeFillTint="33"/>
      </w:tcPr>
    </w:tblStylePr>
    <w:tblStylePr w:type="band1Horz">
      <w:tblPr/>
      <w:tcPr>
        <w:shd w:val="clear" w:color="auto" w:fill="C8D5DF" w:themeFill="text1" w:themeFillTint="33"/>
      </w:tcPr>
    </w:tblStylePr>
  </w:style>
  <w:style w:type="paragraph" w:styleId="Revision">
    <w:name w:val="Revision"/>
    <w:hidden/>
    <w:uiPriority w:val="99"/>
    <w:semiHidden/>
    <w:rsid w:val="00094D98"/>
    <w:pPr>
      <w:spacing w:after="0" w:line="240" w:lineRule="auto"/>
    </w:pPr>
    <w:rPr>
      <w:rFonts w:ascii="Arial Nova" w:hAnsi="Arial Nova"/>
      <w:szCs w:val="20"/>
    </w:rPr>
  </w:style>
  <w:style w:type="paragraph" w:styleId="CommentSubject">
    <w:name w:val="annotation subject"/>
    <w:basedOn w:val="CommentText"/>
    <w:next w:val="CommentText"/>
    <w:link w:val="CommentSubjectChar"/>
    <w:uiPriority w:val="99"/>
    <w:semiHidden/>
    <w:unhideWhenUsed/>
    <w:rsid w:val="00094D98"/>
    <w:rPr>
      <w:b/>
      <w:bCs/>
    </w:rPr>
  </w:style>
  <w:style w:type="character" w:customStyle="1" w:styleId="CommentSubjectChar">
    <w:name w:val="Comment Subject Char"/>
    <w:basedOn w:val="CommentTextChar"/>
    <w:link w:val="CommentSubject"/>
    <w:uiPriority w:val="99"/>
    <w:semiHidden/>
    <w:rsid w:val="00094D98"/>
    <w:rPr>
      <w:rFonts w:ascii="Arial Nova" w:hAnsi="Arial Nova"/>
      <w:b/>
      <w:bCs/>
      <w:sz w:val="20"/>
      <w:szCs w:val="20"/>
    </w:rPr>
  </w:style>
  <w:style w:type="table" w:styleId="GridTable2">
    <w:name w:val="Grid Table 2"/>
    <w:basedOn w:val="TableNormal"/>
    <w:uiPriority w:val="47"/>
    <w:rsid w:val="0070432A"/>
    <w:pPr>
      <w:spacing w:after="0" w:line="240" w:lineRule="auto"/>
    </w:pPr>
    <w:rPr>
      <w:kern w:val="2"/>
      <w:lang w:val="en-IN"/>
      <w14:ligatures w14:val="standardContextual"/>
    </w:rPr>
    <w:tblPr>
      <w:tblStyleRowBandSize w:val="1"/>
      <w:tblStyleColBandSize w:val="1"/>
      <w:tblBorders>
        <w:top w:val="single" w:sz="2" w:space="0" w:color="5B81A0" w:themeColor="text1" w:themeTint="99"/>
        <w:bottom w:val="single" w:sz="2" w:space="0" w:color="5B81A0" w:themeColor="text1" w:themeTint="99"/>
        <w:insideH w:val="single" w:sz="2" w:space="0" w:color="5B81A0" w:themeColor="text1" w:themeTint="99"/>
        <w:insideV w:val="single" w:sz="2" w:space="0" w:color="5B81A0" w:themeColor="text1" w:themeTint="99"/>
      </w:tblBorders>
    </w:tblPr>
    <w:tblStylePr w:type="firstRow">
      <w:rPr>
        <w:b/>
        <w:bCs/>
      </w:rPr>
      <w:tblPr/>
      <w:tcPr>
        <w:tcBorders>
          <w:top w:val="nil"/>
          <w:bottom w:val="single" w:sz="12" w:space="0" w:color="5B81A0" w:themeColor="text1" w:themeTint="99"/>
          <w:insideH w:val="nil"/>
          <w:insideV w:val="nil"/>
        </w:tcBorders>
        <w:shd w:val="clear" w:color="auto" w:fill="FFFFFF" w:themeFill="background1"/>
      </w:tcPr>
    </w:tblStylePr>
    <w:tblStylePr w:type="lastRow">
      <w:rPr>
        <w:b/>
        <w:bCs/>
      </w:rPr>
      <w:tblPr/>
      <w:tcPr>
        <w:tcBorders>
          <w:top w:val="double" w:sz="2" w:space="0" w:color="5B81A0"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8D5DF" w:themeFill="text1" w:themeFillTint="33"/>
      </w:tcPr>
    </w:tblStylePr>
    <w:tblStylePr w:type="band1Horz">
      <w:tblPr/>
      <w:tcPr>
        <w:shd w:val="clear" w:color="auto" w:fill="C8D5DF" w:themeFill="text1" w:themeFillTint="33"/>
      </w:tcPr>
    </w:tblStylePr>
  </w:style>
  <w:style w:type="paragraph" w:styleId="TOC3">
    <w:name w:val="toc 3"/>
    <w:basedOn w:val="Normal"/>
    <w:next w:val="Normal"/>
    <w:autoRedefine/>
    <w:uiPriority w:val="39"/>
    <w:semiHidden/>
    <w:unhideWhenUsed/>
    <w:rsid w:val="000D1FA1"/>
    <w:pPr>
      <w:spacing w:before="0" w:after="0"/>
      <w:ind w:left="440"/>
    </w:pPr>
    <w:rPr>
      <w:rFonts w:asciiTheme="minorHAnsi" w:hAnsiTheme="minorHAnsi"/>
      <w:sz w:val="20"/>
    </w:rPr>
  </w:style>
  <w:style w:type="paragraph" w:styleId="TOC4">
    <w:name w:val="toc 4"/>
    <w:basedOn w:val="Normal"/>
    <w:next w:val="Normal"/>
    <w:autoRedefine/>
    <w:uiPriority w:val="99"/>
    <w:semiHidden/>
    <w:unhideWhenUsed/>
    <w:rsid w:val="000D1FA1"/>
    <w:pPr>
      <w:spacing w:before="0" w:after="0"/>
      <w:ind w:left="660"/>
    </w:pPr>
    <w:rPr>
      <w:rFonts w:asciiTheme="minorHAnsi" w:hAnsiTheme="minorHAnsi"/>
      <w:sz w:val="20"/>
    </w:rPr>
  </w:style>
  <w:style w:type="paragraph" w:styleId="TOC5">
    <w:name w:val="toc 5"/>
    <w:basedOn w:val="Normal"/>
    <w:next w:val="Normal"/>
    <w:autoRedefine/>
    <w:uiPriority w:val="99"/>
    <w:semiHidden/>
    <w:unhideWhenUsed/>
    <w:rsid w:val="000D1FA1"/>
    <w:pPr>
      <w:spacing w:before="0" w:after="0"/>
      <w:ind w:left="880"/>
    </w:pPr>
    <w:rPr>
      <w:rFonts w:asciiTheme="minorHAnsi" w:hAnsiTheme="minorHAnsi"/>
      <w:sz w:val="20"/>
    </w:rPr>
  </w:style>
  <w:style w:type="paragraph" w:styleId="TOC6">
    <w:name w:val="toc 6"/>
    <w:basedOn w:val="Normal"/>
    <w:next w:val="Normal"/>
    <w:autoRedefine/>
    <w:uiPriority w:val="99"/>
    <w:semiHidden/>
    <w:unhideWhenUsed/>
    <w:rsid w:val="000D1FA1"/>
    <w:pPr>
      <w:spacing w:before="0" w:after="0"/>
      <w:ind w:left="1100"/>
    </w:pPr>
    <w:rPr>
      <w:rFonts w:asciiTheme="minorHAnsi" w:hAnsiTheme="minorHAnsi"/>
      <w:sz w:val="20"/>
    </w:rPr>
  </w:style>
  <w:style w:type="paragraph" w:styleId="TOC7">
    <w:name w:val="toc 7"/>
    <w:basedOn w:val="Normal"/>
    <w:next w:val="Normal"/>
    <w:autoRedefine/>
    <w:uiPriority w:val="99"/>
    <w:semiHidden/>
    <w:unhideWhenUsed/>
    <w:rsid w:val="000D1FA1"/>
    <w:pPr>
      <w:spacing w:before="0" w:after="0"/>
      <w:ind w:left="1320"/>
    </w:pPr>
    <w:rPr>
      <w:rFonts w:asciiTheme="minorHAnsi" w:hAnsiTheme="minorHAnsi"/>
      <w:sz w:val="20"/>
    </w:rPr>
  </w:style>
  <w:style w:type="paragraph" w:styleId="TOC8">
    <w:name w:val="toc 8"/>
    <w:basedOn w:val="Normal"/>
    <w:next w:val="Normal"/>
    <w:autoRedefine/>
    <w:uiPriority w:val="99"/>
    <w:semiHidden/>
    <w:unhideWhenUsed/>
    <w:rsid w:val="000D1FA1"/>
    <w:pPr>
      <w:spacing w:before="0" w:after="0"/>
      <w:ind w:left="1540"/>
    </w:pPr>
    <w:rPr>
      <w:rFonts w:asciiTheme="minorHAnsi" w:hAnsiTheme="minorHAnsi"/>
      <w:sz w:val="20"/>
    </w:rPr>
  </w:style>
  <w:style w:type="paragraph" w:styleId="TOC9">
    <w:name w:val="toc 9"/>
    <w:basedOn w:val="Normal"/>
    <w:next w:val="Normal"/>
    <w:autoRedefine/>
    <w:uiPriority w:val="99"/>
    <w:semiHidden/>
    <w:unhideWhenUsed/>
    <w:rsid w:val="000D1FA1"/>
    <w:pPr>
      <w:spacing w:before="0" w:after="0"/>
      <w:ind w:left="1760"/>
    </w:pPr>
    <w:rPr>
      <w:rFonts w:asciiTheme="minorHAnsi" w:hAnsiTheme="minorHAnsi"/>
      <w:sz w:val="20"/>
    </w:rPr>
  </w:style>
  <w:style w:type="table" w:styleId="PlainTable4">
    <w:name w:val="Plain Table 4"/>
    <w:basedOn w:val="TableNormal"/>
    <w:uiPriority w:val="44"/>
    <w:rsid w:val="009D2CDA"/>
    <w:pPr>
      <w:spacing w:after="0" w:line="240" w:lineRule="auto"/>
    </w:p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5">
    <w:name w:val="Plain Table 5"/>
    <w:basedOn w:val="TableNormal"/>
    <w:uiPriority w:val="45"/>
    <w:rsid w:val="009D2CDA"/>
    <w:pPr>
      <w:spacing w:after="0" w:line="240" w:lineRule="auto"/>
    </w:p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595B0"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595B0"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595B0"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595B0"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PlainTable3">
    <w:name w:val="Plain Table 3"/>
    <w:basedOn w:val="TableNormal"/>
    <w:uiPriority w:val="43"/>
    <w:rsid w:val="001A0935"/>
    <w:pPr>
      <w:spacing w:after="0" w:line="240" w:lineRule="auto"/>
    </w:pPr>
    <w:tblPr>
      <w:tblStyleRowBandSize w:val="1"/>
      <w:tblStyleColBandSize w:val="1"/>
    </w:tblPr>
    <w:tblStylePr w:type="firstRow">
      <w:rPr>
        <w:b/>
        <w:bCs/>
        <w:caps/>
      </w:rPr>
      <w:tblPr/>
      <w:tcPr>
        <w:tcBorders>
          <w:bottom w:val="single" w:sz="4" w:space="0" w:color="7595B0"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595B0"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GridTable7Colorful">
    <w:name w:val="Grid Table 7 Colorful"/>
    <w:basedOn w:val="TableNormal"/>
    <w:uiPriority w:val="52"/>
    <w:rsid w:val="001A0935"/>
    <w:pPr>
      <w:spacing w:after="0" w:line="240" w:lineRule="auto"/>
    </w:pPr>
    <w:rPr>
      <w:color w:val="1D2933" w:themeColor="text1"/>
    </w:rPr>
    <w:tblPr>
      <w:tblStyleRowBandSize w:val="1"/>
      <w:tblStyleColBandSize w:val="1"/>
      <w:tblBorders>
        <w:top w:val="single" w:sz="4" w:space="0" w:color="5B81A0" w:themeColor="text1" w:themeTint="99"/>
        <w:left w:val="single" w:sz="4" w:space="0" w:color="5B81A0" w:themeColor="text1" w:themeTint="99"/>
        <w:bottom w:val="single" w:sz="4" w:space="0" w:color="5B81A0" w:themeColor="text1" w:themeTint="99"/>
        <w:right w:val="single" w:sz="4" w:space="0" w:color="5B81A0" w:themeColor="text1" w:themeTint="99"/>
        <w:insideH w:val="single" w:sz="4" w:space="0" w:color="5B81A0" w:themeColor="text1" w:themeTint="99"/>
        <w:insideV w:val="single" w:sz="4" w:space="0" w:color="5B81A0"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8D5DF" w:themeFill="text1" w:themeFillTint="33"/>
      </w:tcPr>
    </w:tblStylePr>
    <w:tblStylePr w:type="band1Horz">
      <w:tblPr/>
      <w:tcPr>
        <w:shd w:val="clear" w:color="auto" w:fill="C8D5DF" w:themeFill="text1" w:themeFillTint="33"/>
      </w:tcPr>
    </w:tblStylePr>
    <w:tblStylePr w:type="neCell">
      <w:tblPr/>
      <w:tcPr>
        <w:tcBorders>
          <w:bottom w:val="single" w:sz="4" w:space="0" w:color="5B81A0" w:themeColor="text1" w:themeTint="99"/>
        </w:tcBorders>
      </w:tcPr>
    </w:tblStylePr>
    <w:tblStylePr w:type="nwCell">
      <w:tblPr/>
      <w:tcPr>
        <w:tcBorders>
          <w:bottom w:val="single" w:sz="4" w:space="0" w:color="5B81A0" w:themeColor="text1" w:themeTint="99"/>
        </w:tcBorders>
      </w:tcPr>
    </w:tblStylePr>
    <w:tblStylePr w:type="seCell">
      <w:tblPr/>
      <w:tcPr>
        <w:tcBorders>
          <w:top w:val="single" w:sz="4" w:space="0" w:color="5B81A0" w:themeColor="text1" w:themeTint="99"/>
        </w:tcBorders>
      </w:tcPr>
    </w:tblStylePr>
    <w:tblStylePr w:type="swCell">
      <w:tblPr/>
      <w:tcPr>
        <w:tcBorders>
          <w:top w:val="single" w:sz="4" w:space="0" w:color="5B81A0" w:themeColor="text1" w:themeTint="99"/>
        </w:tcBorders>
      </w:tcPr>
    </w:tblStylePr>
  </w:style>
  <w:style w:type="table" w:styleId="ListTable1Light">
    <w:name w:val="List Table 1 Light"/>
    <w:basedOn w:val="TableNormal"/>
    <w:uiPriority w:val="46"/>
    <w:rsid w:val="001A0935"/>
    <w:pPr>
      <w:spacing w:after="0" w:line="240" w:lineRule="auto"/>
    </w:pPr>
    <w:tblPr>
      <w:tblStyleRowBandSize w:val="1"/>
      <w:tblStyleColBandSize w:val="1"/>
    </w:tblPr>
    <w:tblStylePr w:type="firstRow">
      <w:rPr>
        <w:b/>
        <w:bCs/>
      </w:rPr>
      <w:tblPr/>
      <w:tcPr>
        <w:tcBorders>
          <w:bottom w:val="single" w:sz="4" w:space="0" w:color="5B81A0" w:themeColor="text1" w:themeTint="99"/>
        </w:tcBorders>
      </w:tcPr>
    </w:tblStylePr>
    <w:tblStylePr w:type="lastRow">
      <w:rPr>
        <w:b/>
        <w:bCs/>
      </w:rPr>
      <w:tblPr/>
      <w:tcPr>
        <w:tcBorders>
          <w:top w:val="single" w:sz="4" w:space="0" w:color="5B81A0" w:themeColor="text1" w:themeTint="99"/>
        </w:tcBorders>
      </w:tcPr>
    </w:tblStylePr>
    <w:tblStylePr w:type="firstCol">
      <w:rPr>
        <w:b/>
        <w:bCs/>
      </w:rPr>
    </w:tblStylePr>
    <w:tblStylePr w:type="lastCol">
      <w:rPr>
        <w:b/>
        <w:bCs/>
      </w:rPr>
    </w:tblStylePr>
    <w:tblStylePr w:type="band1Vert">
      <w:tblPr/>
      <w:tcPr>
        <w:shd w:val="clear" w:color="auto" w:fill="C8D5DF" w:themeFill="text1" w:themeFillTint="33"/>
      </w:tcPr>
    </w:tblStylePr>
    <w:tblStylePr w:type="band1Horz">
      <w:tblPr/>
      <w:tcPr>
        <w:shd w:val="clear" w:color="auto" w:fill="C8D5DF" w:themeFill="text1" w:themeFillTint="33"/>
      </w:tcPr>
    </w:tblStylePr>
  </w:style>
  <w:style w:type="character" w:styleId="PageNumber">
    <w:name w:val="page number"/>
    <w:basedOn w:val="DefaultParagraphFont"/>
    <w:uiPriority w:val="99"/>
    <w:semiHidden/>
    <w:unhideWhenUsed/>
    <w:rsid w:val="00E032FB"/>
  </w:style>
  <w:style w:type="paragraph" w:customStyle="1" w:styleId="BasicParagraph">
    <w:name w:val="[Basic Paragraph]"/>
    <w:basedOn w:val="Normal"/>
    <w:uiPriority w:val="99"/>
    <w:rsid w:val="00D63A6F"/>
    <w:pPr>
      <w:autoSpaceDE w:val="0"/>
      <w:autoSpaceDN w:val="0"/>
      <w:adjustRightInd w:val="0"/>
      <w:spacing w:before="0" w:after="0" w:line="288" w:lineRule="auto"/>
      <w:textAlignment w:val="center"/>
    </w:pPr>
    <w:rPr>
      <w:rFonts w:ascii="MinionPro-Regular" w:hAnsi="MinionPro-Regular" w:cs="MinionPro-Regular"/>
      <w:color w:val="000000"/>
      <w:sz w:val="24"/>
      <w:szCs w:val="24"/>
    </w:rPr>
  </w:style>
  <w:style w:type="paragraph" w:customStyle="1" w:styleId="AuthorNamelastpage">
    <w:name w:val="Author Name last page"/>
    <w:basedOn w:val="Normal"/>
    <w:uiPriority w:val="99"/>
    <w:rsid w:val="004B6CA7"/>
    <w:pPr>
      <w:suppressAutoHyphens/>
      <w:autoSpaceDE w:val="0"/>
      <w:autoSpaceDN w:val="0"/>
      <w:adjustRightInd w:val="0"/>
      <w:spacing w:before="90" w:after="90" w:line="288" w:lineRule="auto"/>
      <w:textAlignment w:val="center"/>
    </w:pPr>
    <w:rPr>
      <w:rFonts w:ascii="Inter" w:hAnsi="Inter" w:cs="Inter"/>
      <w:b/>
      <w:bCs/>
      <w:color w:val="1D2933"/>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6125218">
      <w:bodyDiv w:val="1"/>
      <w:marLeft w:val="0"/>
      <w:marRight w:val="0"/>
      <w:marTop w:val="0"/>
      <w:marBottom w:val="0"/>
      <w:divBdr>
        <w:top w:val="none" w:sz="0" w:space="0" w:color="auto"/>
        <w:left w:val="none" w:sz="0" w:space="0" w:color="auto"/>
        <w:bottom w:val="none" w:sz="0" w:space="0" w:color="auto"/>
        <w:right w:val="none" w:sz="0" w:space="0" w:color="auto"/>
      </w:divBdr>
    </w:div>
    <w:div w:id="115567689">
      <w:bodyDiv w:val="1"/>
      <w:marLeft w:val="0"/>
      <w:marRight w:val="0"/>
      <w:marTop w:val="0"/>
      <w:marBottom w:val="0"/>
      <w:divBdr>
        <w:top w:val="none" w:sz="0" w:space="0" w:color="auto"/>
        <w:left w:val="none" w:sz="0" w:space="0" w:color="auto"/>
        <w:bottom w:val="none" w:sz="0" w:space="0" w:color="auto"/>
        <w:right w:val="none" w:sz="0" w:space="0" w:color="auto"/>
      </w:divBdr>
    </w:div>
    <w:div w:id="367991667">
      <w:bodyDiv w:val="1"/>
      <w:marLeft w:val="0"/>
      <w:marRight w:val="0"/>
      <w:marTop w:val="0"/>
      <w:marBottom w:val="0"/>
      <w:divBdr>
        <w:top w:val="none" w:sz="0" w:space="0" w:color="auto"/>
        <w:left w:val="none" w:sz="0" w:space="0" w:color="auto"/>
        <w:bottom w:val="none" w:sz="0" w:space="0" w:color="auto"/>
        <w:right w:val="none" w:sz="0" w:space="0" w:color="auto"/>
      </w:divBdr>
    </w:div>
    <w:div w:id="370308656">
      <w:bodyDiv w:val="1"/>
      <w:marLeft w:val="0"/>
      <w:marRight w:val="0"/>
      <w:marTop w:val="0"/>
      <w:marBottom w:val="0"/>
      <w:divBdr>
        <w:top w:val="none" w:sz="0" w:space="0" w:color="auto"/>
        <w:left w:val="none" w:sz="0" w:space="0" w:color="auto"/>
        <w:bottom w:val="none" w:sz="0" w:space="0" w:color="auto"/>
        <w:right w:val="none" w:sz="0" w:space="0" w:color="auto"/>
      </w:divBdr>
    </w:div>
    <w:div w:id="483355550">
      <w:bodyDiv w:val="1"/>
      <w:marLeft w:val="0"/>
      <w:marRight w:val="0"/>
      <w:marTop w:val="0"/>
      <w:marBottom w:val="0"/>
      <w:divBdr>
        <w:top w:val="none" w:sz="0" w:space="0" w:color="auto"/>
        <w:left w:val="none" w:sz="0" w:space="0" w:color="auto"/>
        <w:bottom w:val="none" w:sz="0" w:space="0" w:color="auto"/>
        <w:right w:val="none" w:sz="0" w:space="0" w:color="auto"/>
      </w:divBdr>
    </w:div>
    <w:div w:id="651059723">
      <w:bodyDiv w:val="1"/>
      <w:marLeft w:val="0"/>
      <w:marRight w:val="0"/>
      <w:marTop w:val="0"/>
      <w:marBottom w:val="0"/>
      <w:divBdr>
        <w:top w:val="none" w:sz="0" w:space="0" w:color="auto"/>
        <w:left w:val="none" w:sz="0" w:space="0" w:color="auto"/>
        <w:bottom w:val="none" w:sz="0" w:space="0" w:color="auto"/>
        <w:right w:val="none" w:sz="0" w:space="0" w:color="auto"/>
      </w:divBdr>
    </w:div>
    <w:div w:id="688602426">
      <w:bodyDiv w:val="1"/>
      <w:marLeft w:val="0"/>
      <w:marRight w:val="0"/>
      <w:marTop w:val="0"/>
      <w:marBottom w:val="0"/>
      <w:divBdr>
        <w:top w:val="none" w:sz="0" w:space="0" w:color="auto"/>
        <w:left w:val="none" w:sz="0" w:space="0" w:color="auto"/>
        <w:bottom w:val="none" w:sz="0" w:space="0" w:color="auto"/>
        <w:right w:val="none" w:sz="0" w:space="0" w:color="auto"/>
      </w:divBdr>
    </w:div>
    <w:div w:id="692919784">
      <w:bodyDiv w:val="1"/>
      <w:marLeft w:val="0"/>
      <w:marRight w:val="0"/>
      <w:marTop w:val="0"/>
      <w:marBottom w:val="0"/>
      <w:divBdr>
        <w:top w:val="none" w:sz="0" w:space="0" w:color="auto"/>
        <w:left w:val="none" w:sz="0" w:space="0" w:color="auto"/>
        <w:bottom w:val="none" w:sz="0" w:space="0" w:color="auto"/>
        <w:right w:val="none" w:sz="0" w:space="0" w:color="auto"/>
      </w:divBdr>
    </w:div>
    <w:div w:id="833421646">
      <w:bodyDiv w:val="1"/>
      <w:marLeft w:val="0"/>
      <w:marRight w:val="0"/>
      <w:marTop w:val="0"/>
      <w:marBottom w:val="0"/>
      <w:divBdr>
        <w:top w:val="none" w:sz="0" w:space="0" w:color="auto"/>
        <w:left w:val="none" w:sz="0" w:space="0" w:color="auto"/>
        <w:bottom w:val="none" w:sz="0" w:space="0" w:color="auto"/>
        <w:right w:val="none" w:sz="0" w:space="0" w:color="auto"/>
      </w:divBdr>
    </w:div>
    <w:div w:id="882329655">
      <w:bodyDiv w:val="1"/>
      <w:marLeft w:val="0"/>
      <w:marRight w:val="0"/>
      <w:marTop w:val="0"/>
      <w:marBottom w:val="0"/>
      <w:divBdr>
        <w:top w:val="none" w:sz="0" w:space="0" w:color="auto"/>
        <w:left w:val="none" w:sz="0" w:space="0" w:color="auto"/>
        <w:bottom w:val="none" w:sz="0" w:space="0" w:color="auto"/>
        <w:right w:val="none" w:sz="0" w:space="0" w:color="auto"/>
      </w:divBdr>
    </w:div>
    <w:div w:id="994259796">
      <w:bodyDiv w:val="1"/>
      <w:marLeft w:val="0"/>
      <w:marRight w:val="0"/>
      <w:marTop w:val="0"/>
      <w:marBottom w:val="0"/>
      <w:divBdr>
        <w:top w:val="none" w:sz="0" w:space="0" w:color="auto"/>
        <w:left w:val="none" w:sz="0" w:space="0" w:color="auto"/>
        <w:bottom w:val="none" w:sz="0" w:space="0" w:color="auto"/>
        <w:right w:val="none" w:sz="0" w:space="0" w:color="auto"/>
      </w:divBdr>
    </w:div>
    <w:div w:id="1115951308">
      <w:bodyDiv w:val="1"/>
      <w:marLeft w:val="0"/>
      <w:marRight w:val="0"/>
      <w:marTop w:val="0"/>
      <w:marBottom w:val="0"/>
      <w:divBdr>
        <w:top w:val="none" w:sz="0" w:space="0" w:color="auto"/>
        <w:left w:val="none" w:sz="0" w:space="0" w:color="auto"/>
        <w:bottom w:val="none" w:sz="0" w:space="0" w:color="auto"/>
        <w:right w:val="none" w:sz="0" w:space="0" w:color="auto"/>
      </w:divBdr>
    </w:div>
    <w:div w:id="1245995746">
      <w:bodyDiv w:val="1"/>
      <w:marLeft w:val="0"/>
      <w:marRight w:val="0"/>
      <w:marTop w:val="0"/>
      <w:marBottom w:val="0"/>
      <w:divBdr>
        <w:top w:val="none" w:sz="0" w:space="0" w:color="auto"/>
        <w:left w:val="none" w:sz="0" w:space="0" w:color="auto"/>
        <w:bottom w:val="none" w:sz="0" w:space="0" w:color="auto"/>
        <w:right w:val="none" w:sz="0" w:space="0" w:color="auto"/>
      </w:divBdr>
    </w:div>
    <w:div w:id="1467775110">
      <w:bodyDiv w:val="1"/>
      <w:marLeft w:val="0"/>
      <w:marRight w:val="0"/>
      <w:marTop w:val="0"/>
      <w:marBottom w:val="0"/>
      <w:divBdr>
        <w:top w:val="none" w:sz="0" w:space="0" w:color="auto"/>
        <w:left w:val="none" w:sz="0" w:space="0" w:color="auto"/>
        <w:bottom w:val="none" w:sz="0" w:space="0" w:color="auto"/>
        <w:right w:val="none" w:sz="0" w:space="0" w:color="auto"/>
      </w:divBdr>
    </w:div>
    <w:div w:id="1630352300">
      <w:bodyDiv w:val="1"/>
      <w:marLeft w:val="0"/>
      <w:marRight w:val="0"/>
      <w:marTop w:val="0"/>
      <w:marBottom w:val="0"/>
      <w:divBdr>
        <w:top w:val="none" w:sz="0" w:space="0" w:color="auto"/>
        <w:left w:val="none" w:sz="0" w:space="0" w:color="auto"/>
        <w:bottom w:val="none" w:sz="0" w:space="0" w:color="auto"/>
        <w:right w:val="none" w:sz="0" w:space="0" w:color="auto"/>
      </w:divBdr>
    </w:div>
    <w:div w:id="1938101637">
      <w:bodyDiv w:val="1"/>
      <w:marLeft w:val="0"/>
      <w:marRight w:val="0"/>
      <w:marTop w:val="0"/>
      <w:marBottom w:val="0"/>
      <w:divBdr>
        <w:top w:val="none" w:sz="0" w:space="0" w:color="auto"/>
        <w:left w:val="none" w:sz="0" w:space="0" w:color="auto"/>
        <w:bottom w:val="none" w:sz="0" w:space="0" w:color="auto"/>
        <w:right w:val="none" w:sz="0" w:space="0" w:color="auto"/>
      </w:divBdr>
    </w:div>
    <w:div w:id="2015185566">
      <w:bodyDiv w:val="1"/>
      <w:marLeft w:val="0"/>
      <w:marRight w:val="0"/>
      <w:marTop w:val="0"/>
      <w:marBottom w:val="0"/>
      <w:divBdr>
        <w:top w:val="none" w:sz="0" w:space="0" w:color="auto"/>
        <w:left w:val="none" w:sz="0" w:space="0" w:color="auto"/>
        <w:bottom w:val="none" w:sz="0" w:space="0" w:color="auto"/>
        <w:right w:val="none" w:sz="0" w:space="0" w:color="auto"/>
      </w:divBdr>
      <w:divsChild>
        <w:div w:id="1099525347">
          <w:marLeft w:val="1412"/>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endnotes.xml.rels><?xml version="1.0" encoding="UTF-8" standalone="yes"?>
<Relationships xmlns="http://schemas.openxmlformats.org/package/2006/relationships"><Relationship Id="rId8" Type="http://schemas.openxmlformats.org/officeDocument/2006/relationships/hyperlink" Target="https://ieefa.org/resources/dominion-nextera-merger-plan-may-slow-clean-energy-transition" TargetMode="External"/><Relationship Id="rId3" Type="http://schemas.openxmlformats.org/officeDocument/2006/relationships/hyperlink" Target="https://www.scc.virginia.gov/docketsearch/DOCS/8d%23m01!.PDF" TargetMode="External"/><Relationship Id="rId7" Type="http://schemas.openxmlformats.org/officeDocument/2006/relationships/hyperlink" Target="https://www.dominionenergy.com/about/making-energy/power-stations/mt-storm-combined-cycle-station" TargetMode="External"/><Relationship Id="rId2" Type="http://schemas.openxmlformats.org/officeDocument/2006/relationships/hyperlink" Target="https://www.scc.virginia.gov/docketsearch/DOCS/7vj%2501!.PDF" TargetMode="External"/><Relationship Id="rId1" Type="http://schemas.openxmlformats.org/officeDocument/2006/relationships/hyperlink" Target="https://www.scc.virginia.gov/docketsearch/DOCS/8%23v801!.PDF" TargetMode="External"/><Relationship Id="rId6" Type="http://schemas.openxmlformats.org/officeDocument/2006/relationships/hyperlink" Target="https://www.dominionenergy.com/about/making-energy/power-stations/cumberland-energy-center" TargetMode="External"/><Relationship Id="rId5" Type="http://schemas.openxmlformats.org/officeDocument/2006/relationships/hyperlink" Target="https://www.scc.virginia.gov/docketsearch/DOCS/8%237s01!.PDF" TargetMode="External"/><Relationship Id="rId4" Type="http://schemas.openxmlformats.org/officeDocument/2006/relationships/hyperlink" Target="https://www.scc.virginia.gov/docketsearch/DOCS/8bzb01!.PDF" TargetMode="External"/><Relationship Id="rId9" Type="http://schemas.openxmlformats.org/officeDocument/2006/relationships/hyperlink" Target="about:blank" TargetMode="External"/></Relationships>
</file>

<file path=word/_rels/header2.xml.rels><?xml version="1.0" encoding="UTF-8" standalone="yes"?>
<Relationships xmlns="http://schemas.openxmlformats.org/package/2006/relationships"><Relationship Id="rId1" Type="http://schemas.openxmlformats.org/officeDocument/2006/relationships/image" Target="media/image2.png"/></Relationships>
</file>

<file path=word/_rels/header3.xml.rels><?xml version="1.0" encoding="UTF-8" standalone="yes"?>
<Relationships xmlns="http://schemas.openxmlformats.org/package/2006/relationships"><Relationship Id="rId3" Type="http://schemas.openxmlformats.org/officeDocument/2006/relationships/image" Target="media/image5.png"/><Relationship Id="rId2" Type="http://schemas.openxmlformats.org/officeDocument/2006/relationships/image" Target="media/image4.png"/><Relationship Id="rId1" Type="http://schemas.openxmlformats.org/officeDocument/2006/relationships/image" Target="media/image3.jpeg"/></Relationships>
</file>

<file path=word/theme/theme1.xml><?xml version="1.0" encoding="utf-8"?>
<a:theme xmlns:a="http://schemas.openxmlformats.org/drawingml/2006/main" name="Custom Theme">
  <a:themeElements>
    <a:clrScheme name="IEEFA 2022">
      <a:dk1>
        <a:srgbClr val="1D2933"/>
      </a:dk1>
      <a:lt1>
        <a:srgbClr val="FFFFFF"/>
      </a:lt1>
      <a:dk2>
        <a:srgbClr val="355EFF"/>
      </a:dk2>
      <a:lt2>
        <a:srgbClr val="EDF0F3"/>
      </a:lt2>
      <a:accent1>
        <a:srgbClr val="FFD000"/>
      </a:accent1>
      <a:accent2>
        <a:srgbClr val="5A51C8"/>
      </a:accent2>
      <a:accent3>
        <a:srgbClr val="15B18F"/>
      </a:accent3>
      <a:accent4>
        <a:srgbClr val="FF9500"/>
      </a:accent4>
      <a:accent5>
        <a:srgbClr val="65D336"/>
      </a:accent5>
      <a:accent6>
        <a:srgbClr val="FF3C3C"/>
      </a:accent6>
      <a:hlink>
        <a:srgbClr val="15B18F"/>
      </a:hlink>
      <a:folHlink>
        <a:srgbClr val="56318A"/>
      </a:folHlink>
    </a:clrScheme>
    <a:fontScheme name="IEEFA 2022">
      <a:majorFont>
        <a:latin typeface="Arial Nova"/>
        <a:ea typeface=""/>
        <a:cs typeface=""/>
      </a:majorFont>
      <a:minorFont>
        <a:latin typeface="Arial Nova"/>
        <a:ea typeface=""/>
        <a:cs typeface=""/>
      </a:minorFont>
    </a:fontScheme>
    <a:fmtScheme name="Office Effects">
      <a:fillStyleLst>
        <a:solidFill>
          <a:schemeClr val="phClr">
            <a:tint val="100000"/>
            <a:shade val="100000"/>
            <a:satMod val="100000"/>
          </a:schemeClr>
        </a:solidFill>
        <a:gradFill rotWithShape="1">
          <a:gsLst>
            <a:gs pos="0">
              <a:schemeClr val="phClr">
                <a:tint val="65000"/>
                <a:shade val="100000"/>
                <a:satMod val="133000"/>
              </a:schemeClr>
            </a:gs>
            <a:gs pos="15000">
              <a:schemeClr val="phClr">
                <a:tint val="50000"/>
                <a:shade val="100000"/>
                <a:satMod val="140000"/>
              </a:schemeClr>
            </a:gs>
            <a:gs pos="100000">
              <a:schemeClr val="phClr">
                <a:tint val="10000"/>
                <a:shade val="100000"/>
                <a:satMod val="135000"/>
              </a:schemeClr>
            </a:gs>
          </a:gsLst>
          <a:lin ang="16200000" scaled="1"/>
        </a:gradFill>
        <a:gradFill rotWithShape="1">
          <a:gsLst>
            <a:gs pos="0">
              <a:schemeClr val="phClr">
                <a:tint val="100000"/>
                <a:shade val="75000"/>
                <a:satMod val="160000"/>
              </a:schemeClr>
            </a:gs>
            <a:gs pos="62000">
              <a:schemeClr val="phClr">
                <a:tint val="100000"/>
                <a:shade val="100000"/>
                <a:satMod val="125000"/>
              </a:schemeClr>
            </a:gs>
            <a:gs pos="100000">
              <a:schemeClr val="phClr">
                <a:tint val="80000"/>
                <a:shade val="100000"/>
                <a:satMod val="140000"/>
              </a:schemeClr>
            </a:gs>
          </a:gsLst>
          <a:lin ang="16200000" scaled="1"/>
        </a:gradFill>
      </a:fillStyleLst>
      <a:lnStyleLst>
        <a:ln w="12700">
          <a:solidFill>
            <a:schemeClr val="phClr"/>
          </a:solidFill>
          <a:prstDash val="solid"/>
        </a:ln>
        <a:ln w="25400">
          <a:solidFill>
            <a:schemeClr val="phClr"/>
          </a:solidFill>
          <a:prstDash val="solid"/>
        </a:ln>
        <a:ln w="38100">
          <a:solidFill>
            <a:schemeClr val="phClr"/>
          </a:solidFill>
          <a:prstDash val="solid"/>
        </a:ln>
      </a:lnStyleLst>
      <a:effectStyleLst>
        <a:effectStyle>
          <a:effectLst>
            <a:outerShdw blurRad="50800" dist="25400" dir="5400000">
              <a:srgbClr val="000000">
                <a:alpha val="43137"/>
              </a:srgbClr>
            </a:outerShdw>
          </a:effectLst>
        </a:effectStyle>
        <a:effectStyle>
          <a:effectLst>
            <a:outerShdw blurRad="50800" dist="38100" dir="5400000">
              <a:srgbClr val="000000">
                <a:alpha val="61176"/>
              </a:srgbClr>
            </a:outerShdw>
          </a:effectLst>
          <a:scene3d>
            <a:camera prst="orthographicFront" fov="0">
              <a:rot lat="0" lon="0" rev="0"/>
            </a:camera>
            <a:lightRig rig="contrasting" dir="t">
              <a:rot lat="0" lon="0" rev="16500000"/>
            </a:lightRig>
          </a:scene3d>
          <a:sp3d contourW="12700" prstMaterial="powder">
            <a:bevelT h="50800"/>
            <a:contourClr>
              <a:schemeClr val="phClr">
                <a:tint val="100000"/>
                <a:shade val="100000"/>
                <a:satMod val="100000"/>
              </a:schemeClr>
            </a:contourClr>
          </a:sp3d>
        </a:effectStyle>
        <a:effectStyle>
          <a:effectLst>
            <a:reflection blurRad="12700" stA="25000" endPos="28000" dist="38100" dir="5400000" sy="-100000"/>
          </a:effectLst>
          <a:scene3d>
            <a:camera prst="orthographicFront" fov="0">
              <a:rot lat="0" lon="0" rev="0"/>
            </a:camera>
            <a:lightRig rig="threePt" dir="t">
              <a:rot lat="0" lon="0" rev="0"/>
            </a:lightRig>
          </a:scene3d>
          <a:sp3d>
            <a:bevelT w="139700" h="38100"/>
            <a:contourClr>
              <a:schemeClr val="phClr">
                <a:tint val="100000"/>
                <a:shade val="100000"/>
                <a:satMod val="100000"/>
              </a:schemeClr>
            </a:contourClr>
          </a:sp3d>
        </a:effectStyle>
      </a:effectStyleLst>
      <a:bgFillStyleLst>
        <a:solidFill>
          <a:schemeClr val="phClr">
            <a:tint val="100000"/>
            <a:shade val="100000"/>
            <a:satMod val="100000"/>
          </a:schemeClr>
        </a:solidFill>
        <a:gradFill rotWithShape="1">
          <a:gsLst>
            <a:gs pos="0">
              <a:schemeClr val="phClr">
                <a:tint val="100000"/>
                <a:shade val="50000"/>
                <a:satMod val="145000"/>
              </a:schemeClr>
            </a:gs>
            <a:gs pos="40000">
              <a:schemeClr val="phClr">
                <a:tint val="100000"/>
                <a:shade val="70000"/>
                <a:satMod val="145000"/>
              </a:schemeClr>
            </a:gs>
            <a:gs pos="100000">
              <a:schemeClr val="phClr">
                <a:tint val="85000"/>
                <a:shade val="100000"/>
                <a:satMod val="155000"/>
              </a:schemeClr>
            </a:gs>
          </a:gsLst>
          <a:lin ang="16200000" scaled="1"/>
        </a:gradFill>
        <a:gradFill rotWithShape="1">
          <a:gsLst>
            <a:gs pos="0">
              <a:schemeClr val="phClr">
                <a:tint val="100000"/>
                <a:shade val="50000"/>
                <a:satMod val="145000"/>
              </a:schemeClr>
            </a:gs>
            <a:gs pos="30000">
              <a:schemeClr val="phClr">
                <a:tint val="100000"/>
                <a:shade val="65000"/>
                <a:satMod val="155000"/>
              </a:schemeClr>
            </a:gs>
            <a:gs pos="100000">
              <a:schemeClr val="phClr">
                <a:tint val="60000"/>
                <a:shade val="100000"/>
                <a:satMod val="170000"/>
              </a:schemeClr>
            </a:gs>
          </a:gsLst>
          <a:lin ang="16200000" scaled="1"/>
        </a:gradFill>
      </a:bgFillStyleLst>
    </a:fmtScheme>
  </a:themeElements>
  <a:objectDefaults/>
  <a:extraClrSchemeLst/>
</a:theme>
</file>

<file path=word/webextensions/_rels/taskpanes.xml.rels><?xml version="1.0" encoding="UTF-8" standalone="yes"?>
<Relationships xmlns="http://schemas.openxmlformats.org/package/2006/relationships"><Relationship Id="rId1" Type="http://schemas.microsoft.com/office/2011/relationships/webextension" Target="webextension1.xml"/></Relationships>
</file>

<file path=word/webextensions/taskpanes.xml><?xml version="1.0" encoding="utf-8"?>
<wetp:taskpanes xmlns:wetp="http://schemas.microsoft.com/office/webextensions/taskpanes/2010/11">
  <wetp:taskpane dockstate="right" visibility="0" width="350" row="0">
    <wetp:webextensionref xmlns:r="http://schemas.openxmlformats.org/officeDocument/2006/relationships" r:id="rId1"/>
  </wetp:taskpane>
</wetp:taskpanes>
</file>

<file path=word/webextensions/webextension1.xml><?xml version="1.0" encoding="utf-8"?>
<we:webextension xmlns:we="http://schemas.microsoft.com/office/webextensions/webextension/2010/11" id="{5DC67F58-E054-364A-8914-FB02A4BBFD8D}">
  <we:reference id="wa200001011" version="1.2.0.0" store="en-US" storeType="OMEX"/>
  <we:alternateReferences>
    <we:reference id="wa200001011" version="1.2.0.0" store="" storeType="OMEX"/>
  </we:alternateReferences>
  <we:properties/>
  <we:bindings/>
  <we:snapshot xmlns:r="http://schemas.openxmlformats.org/officeDocument/2006/relationships"/>
</we:webextension>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2A45F17-BF30-48D8-BA78-D5D7B4A546D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7</TotalTime>
  <Pages>8</Pages>
  <Words>1414</Words>
  <Characters>8061</Characters>
  <Application>Microsoft Office Word</Application>
  <DocSecurity>0</DocSecurity>
  <Lines>67</Lines>
  <Paragraphs>18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9457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Microsoft Office User</dc:creator>
  <cp:keywords/>
  <cp:lastModifiedBy>Frank Bass</cp:lastModifiedBy>
  <cp:revision>10</cp:revision>
  <cp:lastPrinted>2024-10-09T13:27:00Z</cp:lastPrinted>
  <dcterms:created xsi:type="dcterms:W3CDTF">2026-10-09T02:38:00Z</dcterms:created>
  <dcterms:modified xsi:type="dcterms:W3CDTF">2026-10-09T20:44:00Z</dcterms:modified>
  <cp:ver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_documentId">
    <vt:lpwstr>documentId_8114</vt:lpwstr>
  </property>
  <property fmtid="{D5CDD505-2E9C-101B-9397-08002B2CF9AE}" pid="3" name="grammarly_documentContext">
    <vt:lpwstr>{"goals":[],"domain":"general","emotions":[],"dialect":"british"}</vt:lpwstr>
  </property>
</Properties>
</file>